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B884C" w14:textId="09474449" w:rsidR="00FD1478" w:rsidRPr="00FD1478" w:rsidRDefault="00FD1478" w:rsidP="00FD1478">
      <w:pPr>
        <w:pStyle w:val="NormalWeb"/>
        <w:rPr>
          <w:b/>
          <w:bCs/>
          <w:sz w:val="32"/>
          <w:szCs w:val="32"/>
          <w:u w:val="single"/>
        </w:rPr>
      </w:pPr>
      <w:r w:rsidRPr="00FD1478">
        <w:rPr>
          <w:b/>
          <w:bCs/>
          <w:sz w:val="32"/>
          <w:szCs w:val="32"/>
          <w:u w:val="single"/>
        </w:rPr>
        <w:t>Situation clinique : Les réponses au quiz :</w:t>
      </w:r>
    </w:p>
    <w:p w14:paraId="6FBA78C3" w14:textId="41EB71DA" w:rsidR="00FD1478" w:rsidRDefault="00FD1478" w:rsidP="00FD1478">
      <w:pPr>
        <w:pStyle w:val="NormalWeb"/>
      </w:pPr>
      <w:r>
        <w:t>Vous voyez en consultation M. U âgé de 63 ans</w:t>
      </w:r>
    </w:p>
    <w:p w14:paraId="5FB7C653" w14:textId="77777777" w:rsidR="00FD1478" w:rsidRDefault="00FD1478" w:rsidP="00FD1478">
      <w:pPr>
        <w:pStyle w:val="NormalWeb"/>
      </w:pPr>
      <w:r>
        <w:t>Il est gêné depuis 2 jours par des brûlures mictionnelles et une pollakiurie. Il n’a pas de fièvre ni de frissons. L’état général est conservé.</w:t>
      </w:r>
    </w:p>
    <w:p w14:paraId="2840572A" w14:textId="77777777" w:rsidR="00FD1478" w:rsidRDefault="00FD1478" w:rsidP="00FD1478">
      <w:pPr>
        <w:pStyle w:val="NormalWeb"/>
      </w:pPr>
      <w:r>
        <w:t>On note dans ses antécédents une hypertension artérielle traitée par amlodipine.</w:t>
      </w:r>
    </w:p>
    <w:p w14:paraId="475CA725" w14:textId="77777777" w:rsidR="00FD1478" w:rsidRDefault="00FD1478" w:rsidP="00FD1478">
      <w:pPr>
        <w:pStyle w:val="NormalWeb"/>
      </w:pPr>
      <w:r>
        <w:t>Sa fonction rénale est normale et il n’a pas d’allergie.</w:t>
      </w:r>
    </w:p>
    <w:p w14:paraId="48851BD2" w14:textId="77777777" w:rsidR="00FD1478" w:rsidRPr="006E2F5B" w:rsidRDefault="00FD1478" w:rsidP="00FD1478">
      <w:pPr>
        <w:ind w:left="284"/>
        <w:rPr>
          <w:rFonts w:ascii="Arial" w:hAnsi="Arial" w:cs="Arial"/>
          <w:color w:val="1F3864" w:themeColor="accent1" w:themeShade="80"/>
        </w:rPr>
      </w:pPr>
    </w:p>
    <w:p w14:paraId="358917EA" w14:textId="77777777" w:rsidR="00FD1478" w:rsidRPr="006E2F5B" w:rsidRDefault="00FD1478" w:rsidP="00FD1478">
      <w:pPr>
        <w:ind w:left="284"/>
        <w:rPr>
          <w:rFonts w:ascii="Arial" w:hAnsi="Arial" w:cs="Arial"/>
          <w:color w:val="1F3864" w:themeColor="accent1" w:themeShade="80"/>
        </w:rPr>
      </w:pPr>
      <w:r w:rsidRPr="006E2F5B"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  <w:u w:val="single"/>
        </w:rPr>
        <w:t>Question 1</w:t>
      </w:r>
      <w:r w:rsidRPr="006E2F5B"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  <w:t xml:space="preserve"> :</w:t>
      </w:r>
      <w:r w:rsidRPr="006E2F5B">
        <w:rPr>
          <w:rStyle w:val="m7eme"/>
          <w:rFonts w:ascii="Arial" w:hAnsi="Arial" w:cs="Arial"/>
          <w:b/>
          <w:bCs/>
          <w:color w:val="1F3864" w:themeColor="accent1" w:themeShade="80"/>
        </w:rPr>
        <w:t xml:space="preserve">  </w:t>
      </w:r>
      <w:r w:rsidRPr="005C5624"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  <w:t>Quel est votre diagnostic ?</w:t>
      </w:r>
      <w:r w:rsidRPr="006E2F5B">
        <w:rPr>
          <w:rFonts w:ascii="Arial" w:hAnsi="Arial" w:cs="Arial"/>
          <w:color w:val="1F3864" w:themeColor="accent1" w:themeShade="80"/>
        </w:rPr>
        <w:br/>
      </w:r>
    </w:p>
    <w:p w14:paraId="67673091" w14:textId="77777777" w:rsidR="00FD1478" w:rsidRPr="00FD1478" w:rsidRDefault="00FD1478" w:rsidP="00FD1478">
      <w:pPr>
        <w:pStyle w:val="Paragraphedeliste"/>
        <w:numPr>
          <w:ilvl w:val="0"/>
          <w:numId w:val="1"/>
        </w:numPr>
        <w:spacing w:after="0" w:line="240" w:lineRule="auto"/>
        <w:ind w:left="993" w:hanging="425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</w:pPr>
      <w:r w:rsidRPr="00FD1478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>Cystite aiguë</w:t>
      </w:r>
    </w:p>
    <w:p w14:paraId="7CBF0C3B" w14:textId="77777777" w:rsidR="00FD1478" w:rsidRDefault="00FD1478" w:rsidP="00FD1478">
      <w:pPr>
        <w:pStyle w:val="Paragraphedeliste"/>
        <w:numPr>
          <w:ilvl w:val="0"/>
          <w:numId w:val="1"/>
        </w:numPr>
        <w:spacing w:after="0" w:line="240" w:lineRule="auto"/>
        <w:ind w:left="993" w:hanging="425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Cystite </w:t>
      </w:r>
      <w:proofErr w:type="spellStart"/>
      <w:r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intersticielle</w:t>
      </w:r>
      <w:proofErr w:type="spellEnd"/>
    </w:p>
    <w:p w14:paraId="4845204E" w14:textId="77777777" w:rsidR="00FD1478" w:rsidRPr="00B27F5B" w:rsidRDefault="00FD1478" w:rsidP="00FD1478">
      <w:pPr>
        <w:pStyle w:val="Paragraphedeliste"/>
        <w:numPr>
          <w:ilvl w:val="0"/>
          <w:numId w:val="1"/>
        </w:numPr>
        <w:spacing w:after="0" w:line="240" w:lineRule="auto"/>
        <w:ind w:left="993" w:hanging="425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Prostatite aiguë</w:t>
      </w:r>
    </w:p>
    <w:p w14:paraId="1EF52754" w14:textId="77777777" w:rsidR="00FD1478" w:rsidRPr="006E2F5B" w:rsidRDefault="00FD1478" w:rsidP="00FD1478">
      <w:pPr>
        <w:pStyle w:val="Paragraphedeliste"/>
        <w:numPr>
          <w:ilvl w:val="0"/>
          <w:numId w:val="1"/>
        </w:numPr>
        <w:spacing w:after="0" w:line="240" w:lineRule="auto"/>
        <w:ind w:left="993" w:hanging="425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Pyélonéphrite aiguë</w:t>
      </w:r>
    </w:p>
    <w:p w14:paraId="3DF296EF" w14:textId="77777777" w:rsidR="00FD1478" w:rsidRDefault="00FD1478" w:rsidP="00FD1478">
      <w:pPr>
        <w:pStyle w:val="Paragraphedeliste"/>
        <w:numPr>
          <w:ilvl w:val="0"/>
          <w:numId w:val="1"/>
        </w:numPr>
        <w:spacing w:after="0" w:line="240" w:lineRule="auto"/>
        <w:ind w:left="993" w:hanging="425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Prostatisme sur hypertrophie bénigne de la prostate</w:t>
      </w:r>
    </w:p>
    <w:p w14:paraId="74ED159B" w14:textId="77777777" w:rsidR="00FD1478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</w:p>
    <w:p w14:paraId="3B48D824" w14:textId="77777777" w:rsidR="00FD1478" w:rsidRPr="00FD1478" w:rsidRDefault="00FD1478" w:rsidP="00FD1478">
      <w:pPr>
        <w:pStyle w:val="NormalWeb"/>
        <w:rPr>
          <w:i/>
          <w:iCs/>
          <w:sz w:val="28"/>
          <w:szCs w:val="28"/>
        </w:rPr>
      </w:pPr>
      <w:r w:rsidRPr="00FD1478">
        <w:rPr>
          <w:b/>
          <w:bCs/>
          <w:i/>
          <w:iCs/>
          <w:color w:val="FF5050"/>
          <w:sz w:val="28"/>
          <w:szCs w:val="28"/>
        </w:rPr>
        <w:t>La cystite aiguë chez l’homme existe désormais</w:t>
      </w:r>
      <w:r w:rsidRPr="00FD1478">
        <w:rPr>
          <w:i/>
          <w:iCs/>
          <w:sz w:val="28"/>
          <w:szCs w:val="28"/>
        </w:rPr>
        <w:t>. Les dernières recommandations françaises 2026 de la SPILF sur les infections urinaires masculines introduisent un changement nosologique majeur qui distingue quatre entités séparées : la cystite aiguë, la prostatite aiguë, la pyélonéphrite aiguë et l’</w:t>
      </w:r>
      <w:proofErr w:type="spellStart"/>
      <w:r w:rsidRPr="00FD1478">
        <w:rPr>
          <w:i/>
          <w:iCs/>
          <w:sz w:val="28"/>
          <w:szCs w:val="28"/>
        </w:rPr>
        <w:t>orchi</w:t>
      </w:r>
      <w:proofErr w:type="spellEnd"/>
      <w:r w:rsidRPr="00FD1478">
        <w:rPr>
          <w:i/>
          <w:iCs/>
          <w:sz w:val="28"/>
          <w:szCs w:val="28"/>
        </w:rPr>
        <w:t>-épididymite aiguë. La prise en charge de ces quatre pathologies est différente notamment concernant le choix et la durée de l’antibiothérapie.</w:t>
      </w:r>
    </w:p>
    <w:p w14:paraId="5BAD4EC6" w14:textId="7F809F4C" w:rsidR="00FD1478" w:rsidRDefault="00FD1478" w:rsidP="00FD1478">
      <w:pPr>
        <w:pStyle w:val="NormalWeb"/>
        <w:rPr>
          <w:i/>
          <w:iCs/>
          <w:sz w:val="28"/>
          <w:szCs w:val="28"/>
        </w:rPr>
      </w:pPr>
      <w:r w:rsidRPr="00FD1478">
        <w:rPr>
          <w:b/>
          <w:bCs/>
          <w:i/>
          <w:iCs/>
          <w:sz w:val="28"/>
          <w:szCs w:val="28"/>
        </w:rPr>
        <w:t>Le diagnostic clinique de cystite de l’homme repose sur l’apparition aiguë de signes cliniques locaux</w:t>
      </w:r>
      <w:r w:rsidRPr="00FD1478">
        <w:rPr>
          <w:i/>
          <w:iCs/>
          <w:sz w:val="28"/>
          <w:szCs w:val="28"/>
        </w:rPr>
        <w:t xml:space="preserve"> (brulures urétrales per-mictionnelles, pollakiurie, urgenturie, nycturie, dysurie, douleur de l’hypogastre) </w:t>
      </w:r>
      <w:r w:rsidRPr="00FD1478">
        <w:rPr>
          <w:b/>
          <w:bCs/>
          <w:i/>
          <w:iCs/>
          <w:sz w:val="28"/>
          <w:szCs w:val="28"/>
        </w:rPr>
        <w:t>et l’absence de fièvre.</w:t>
      </w:r>
      <w:r>
        <w:rPr>
          <w:b/>
          <w:bCs/>
          <w:i/>
          <w:iCs/>
          <w:sz w:val="28"/>
          <w:szCs w:val="28"/>
        </w:rPr>
        <w:t xml:space="preserve"> </w:t>
      </w:r>
      <w:r w:rsidRPr="00FD1478">
        <w:rPr>
          <w:b/>
          <w:bCs/>
          <w:i/>
          <w:iCs/>
          <w:sz w:val="28"/>
          <w:szCs w:val="28"/>
        </w:rPr>
        <w:t>L’ECBU</w:t>
      </w:r>
      <w:r w:rsidRPr="00FD1478">
        <w:rPr>
          <w:i/>
          <w:iCs/>
          <w:sz w:val="28"/>
          <w:szCs w:val="28"/>
        </w:rPr>
        <w:t xml:space="preserve"> est systématique pour confirmer et documenter le diagnostic de cystite chez l’homme. C’est le seul examen utile dans cette situation.</w:t>
      </w:r>
    </w:p>
    <w:p w14:paraId="3A4853C8" w14:textId="38118269" w:rsidR="00FD1478" w:rsidRDefault="003050F6" w:rsidP="00FD1478">
      <w:pPr>
        <w:pStyle w:val="NormalWeb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La BU seule n’a pas d’indication chez l’homme.</w:t>
      </w:r>
    </w:p>
    <w:p w14:paraId="21B6DBE1" w14:textId="77777777" w:rsidR="00E54DFB" w:rsidRDefault="00E54DFB" w:rsidP="00FD1478">
      <w:pPr>
        <w:pStyle w:val="NormalWeb"/>
        <w:rPr>
          <w:i/>
          <w:iCs/>
          <w:sz w:val="28"/>
          <w:szCs w:val="28"/>
        </w:rPr>
      </w:pPr>
    </w:p>
    <w:p w14:paraId="3DE68CB4" w14:textId="77777777" w:rsidR="00E54DFB" w:rsidRDefault="00E54DFB" w:rsidP="00FD1478">
      <w:pPr>
        <w:pStyle w:val="NormalWeb"/>
        <w:rPr>
          <w:i/>
          <w:iCs/>
          <w:sz w:val="28"/>
          <w:szCs w:val="28"/>
        </w:rPr>
      </w:pPr>
    </w:p>
    <w:p w14:paraId="22DDD786" w14:textId="77777777" w:rsidR="00E54DFB" w:rsidRDefault="00E54DFB" w:rsidP="00FD1478">
      <w:pPr>
        <w:pStyle w:val="NormalWeb"/>
        <w:rPr>
          <w:i/>
          <w:iCs/>
          <w:sz w:val="28"/>
          <w:szCs w:val="28"/>
        </w:rPr>
      </w:pPr>
    </w:p>
    <w:p w14:paraId="68F554C4" w14:textId="77777777" w:rsidR="00E54DFB" w:rsidRPr="00FD1478" w:rsidRDefault="00E54DFB" w:rsidP="00FD1478">
      <w:pPr>
        <w:pStyle w:val="NormalWeb"/>
        <w:rPr>
          <w:i/>
          <w:iCs/>
          <w:sz w:val="28"/>
          <w:szCs w:val="28"/>
        </w:rPr>
      </w:pPr>
    </w:p>
    <w:p w14:paraId="22B3E06B" w14:textId="77777777" w:rsidR="00FD1478" w:rsidRDefault="00FD1478" w:rsidP="00FD1478">
      <w:pPr>
        <w:pStyle w:val="NormalWeb"/>
      </w:pPr>
      <w:r>
        <w:lastRenderedPageBreak/>
        <w:t>Vous décidez de demander un ECBU puis de démarrer une antibiothérapie probabiliste une fois l’ECBU prélevé</w:t>
      </w:r>
    </w:p>
    <w:p w14:paraId="69B51E38" w14:textId="77777777" w:rsidR="00FD1478" w:rsidRPr="006E2F5B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</w:p>
    <w:p w14:paraId="645530C5" w14:textId="77777777" w:rsidR="00FD1478" w:rsidRPr="006E2F5B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</w:p>
    <w:p w14:paraId="333CDB05" w14:textId="77777777" w:rsidR="00FD1478" w:rsidRDefault="00FD1478" w:rsidP="00FD1478">
      <w:pPr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</w:pPr>
      <w:r w:rsidRPr="006E2F5B">
        <w:rPr>
          <w:rFonts w:ascii="Arial" w:hAnsi="Arial" w:cs="Arial"/>
          <w:b/>
          <w:bCs/>
          <w:color w:val="1F3864" w:themeColor="accent1" w:themeShade="80"/>
          <w:sz w:val="28"/>
          <w:szCs w:val="28"/>
          <w:u w:val="single"/>
        </w:rPr>
        <w:t>Question 2</w:t>
      </w:r>
      <w:r w:rsidRPr="006E2F5B"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  <w:t> :</w:t>
      </w:r>
      <w:r>
        <w:rPr>
          <w:rFonts w:ascii="Arial" w:hAnsi="Arial" w:cs="Arial"/>
          <w:b/>
          <w:bCs/>
          <w:color w:val="1F3864" w:themeColor="accent1" w:themeShade="80"/>
          <w:sz w:val="28"/>
          <w:szCs w:val="28"/>
        </w:rPr>
        <w:t xml:space="preserve">   Quelle antibiothérapie probabiliste prescrivez-vous ?</w:t>
      </w:r>
    </w:p>
    <w:p w14:paraId="40AB2668" w14:textId="77777777" w:rsidR="00FD1478" w:rsidRDefault="00FD1478" w:rsidP="00FD1478">
      <w:pPr>
        <w:rPr>
          <w:rFonts w:ascii="Arial" w:hAnsi="Arial" w:cs="Arial"/>
          <w:b/>
          <w:bCs/>
          <w:color w:val="1F3864" w:themeColor="accent1" w:themeShade="80"/>
          <w:sz w:val="28"/>
          <w:szCs w:val="28"/>
          <w:u w:val="single"/>
        </w:rPr>
      </w:pPr>
    </w:p>
    <w:p w14:paraId="3ED86998" w14:textId="77777777" w:rsidR="00FD1478" w:rsidRPr="006E2F5B" w:rsidRDefault="00FD1478" w:rsidP="00FD1478">
      <w:pPr>
        <w:rPr>
          <w:rFonts w:ascii="Arial" w:hAnsi="Arial" w:cs="Arial"/>
          <w:b/>
          <w:bCs/>
          <w:color w:val="1F3864" w:themeColor="accent1" w:themeShade="80"/>
          <w:sz w:val="28"/>
          <w:szCs w:val="28"/>
          <w:u w:val="single"/>
        </w:rPr>
      </w:pPr>
    </w:p>
    <w:p w14:paraId="00ED4A96" w14:textId="77777777" w:rsidR="00FD1478" w:rsidRPr="00B27F5B" w:rsidRDefault="00FD1478" w:rsidP="00FD1478">
      <w:pPr>
        <w:pStyle w:val="Paragraphedeliste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Ceftriaxone 1g/j en parentéral </w:t>
      </w:r>
    </w:p>
    <w:p w14:paraId="2A531810" w14:textId="77777777" w:rsidR="00FD1478" w:rsidRPr="00B27F5B" w:rsidRDefault="00FD1478" w:rsidP="00FD1478">
      <w:pPr>
        <w:pStyle w:val="Paragraphedeliste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Amoxicilli</w:t>
      </w:r>
      <w:r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ne</w:t>
      </w: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-Acide clavulanique 500mg/62.5</w:t>
      </w:r>
      <w:proofErr w:type="gramStart"/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mg  3</w:t>
      </w:r>
      <w:proofErr w:type="gramEnd"/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x2/jour</w:t>
      </w:r>
    </w:p>
    <w:p w14:paraId="50CEE0CD" w14:textId="77777777" w:rsidR="00FD1478" w:rsidRPr="00B27F5B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     C. </w:t>
      </w:r>
      <w:r w:rsidRPr="00FD1478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>Fosfomycine 1 sachet de 3g</w:t>
      </w:r>
      <w:r w:rsidRPr="00FD1478">
        <w:rPr>
          <w:rFonts w:ascii="Arial" w:eastAsia="Times New Roman" w:hAnsi="Arial" w:cs="Arial"/>
          <w:color w:val="00B050"/>
          <w:kern w:val="0"/>
          <w:sz w:val="24"/>
          <w:szCs w:val="24"/>
          <w:lang w:eastAsia="fr-FR"/>
          <w14:ligatures w14:val="none"/>
        </w:rPr>
        <w:t xml:space="preserve"> </w:t>
      </w:r>
    </w:p>
    <w:p w14:paraId="2B92E64A" w14:textId="77777777" w:rsidR="00FD1478" w:rsidRPr="00B27F5B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     D. Ciprofloxacine 500mg x2/j </w:t>
      </w:r>
    </w:p>
    <w:p w14:paraId="3D995D87" w14:textId="77777777" w:rsidR="00FD1478" w:rsidRPr="00FD1478" w:rsidRDefault="00FD1478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     E. </w:t>
      </w:r>
      <w:proofErr w:type="spellStart"/>
      <w:r w:rsidRPr="00FD1478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>Pivmécillinam</w:t>
      </w:r>
      <w:proofErr w:type="spellEnd"/>
      <w:r w:rsidRPr="00FD1478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 xml:space="preserve"> 400mg x2/j </w:t>
      </w:r>
    </w:p>
    <w:p w14:paraId="3FA5EA2C" w14:textId="77777777" w:rsidR="00FD1478" w:rsidRPr="00B27F5B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     F. Cotrimoxazole 800/160 2x/j </w:t>
      </w:r>
    </w:p>
    <w:p w14:paraId="5B156390" w14:textId="77777777" w:rsidR="00FD1478" w:rsidRDefault="00FD1478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</w:pPr>
      <w:r w:rsidRPr="00B27F5B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     G. </w:t>
      </w:r>
      <w:proofErr w:type="spellStart"/>
      <w:r w:rsidRPr="00FD1478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>Nitrofurantoïne</w:t>
      </w:r>
      <w:proofErr w:type="spellEnd"/>
      <w:r w:rsidRPr="00FD1478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 xml:space="preserve"> 100mg x3/j</w:t>
      </w:r>
    </w:p>
    <w:p w14:paraId="34F72364" w14:textId="77777777" w:rsidR="00FD1478" w:rsidRDefault="00FD1478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</w:pPr>
    </w:p>
    <w:p w14:paraId="08EFA1DC" w14:textId="77777777" w:rsidR="00C609AF" w:rsidRDefault="00C609AF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</w:pPr>
    </w:p>
    <w:p w14:paraId="03A65792" w14:textId="77777777" w:rsidR="00FD1478" w:rsidRPr="00FD1478" w:rsidRDefault="00FD1478" w:rsidP="00FD1478">
      <w:pPr>
        <w:pStyle w:val="NormalWeb"/>
        <w:rPr>
          <w:i/>
          <w:iCs/>
          <w:sz w:val="28"/>
          <w:szCs w:val="28"/>
        </w:rPr>
      </w:pPr>
      <w:r w:rsidRPr="00FD1478">
        <w:rPr>
          <w:b/>
          <w:bCs/>
          <w:i/>
          <w:iCs/>
          <w:sz w:val="28"/>
          <w:szCs w:val="28"/>
        </w:rPr>
        <w:t>Le traitement probabiliste de la cystite aiguë chez l’homme est par ordre alphabétique</w:t>
      </w:r>
      <w:r w:rsidRPr="00FD1478">
        <w:rPr>
          <w:i/>
          <w:iCs/>
          <w:sz w:val="28"/>
          <w:szCs w:val="28"/>
        </w:rPr>
        <w:t xml:space="preserve"> (pas de préférence entre les 3 molécules) : </w:t>
      </w:r>
      <w:r w:rsidRPr="00FD1478">
        <w:rPr>
          <w:b/>
          <w:bCs/>
          <w:i/>
          <w:iCs/>
          <w:sz w:val="28"/>
          <w:szCs w:val="28"/>
        </w:rPr>
        <w:t xml:space="preserve">fosfomycine </w:t>
      </w:r>
      <w:r w:rsidRPr="00C609AF">
        <w:rPr>
          <w:rStyle w:val="lev"/>
          <w:i/>
          <w:iCs/>
          <w:color w:val="00B050"/>
          <w:sz w:val="28"/>
          <w:szCs w:val="28"/>
        </w:rPr>
        <w:t>OU</w:t>
      </w:r>
      <w:r w:rsidRPr="00FD147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D1478">
        <w:rPr>
          <w:b/>
          <w:bCs/>
          <w:i/>
          <w:iCs/>
          <w:sz w:val="28"/>
          <w:szCs w:val="28"/>
        </w:rPr>
        <w:t>nitrofurantoine</w:t>
      </w:r>
      <w:proofErr w:type="spellEnd"/>
      <w:r w:rsidRPr="00FD1478">
        <w:rPr>
          <w:b/>
          <w:bCs/>
          <w:i/>
          <w:iCs/>
          <w:sz w:val="28"/>
          <w:szCs w:val="28"/>
        </w:rPr>
        <w:t xml:space="preserve"> </w:t>
      </w:r>
      <w:r w:rsidRPr="00C609AF">
        <w:rPr>
          <w:rStyle w:val="lev"/>
          <w:i/>
          <w:iCs/>
          <w:color w:val="00B050"/>
          <w:sz w:val="28"/>
          <w:szCs w:val="28"/>
        </w:rPr>
        <w:t>OU</w:t>
      </w:r>
      <w:r w:rsidRPr="00FD1478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FD1478">
        <w:rPr>
          <w:b/>
          <w:bCs/>
          <w:i/>
          <w:iCs/>
          <w:sz w:val="28"/>
          <w:szCs w:val="28"/>
        </w:rPr>
        <w:t>pivmécillinam</w:t>
      </w:r>
      <w:proofErr w:type="spellEnd"/>
      <w:r w:rsidRPr="00FD1478">
        <w:rPr>
          <w:b/>
          <w:bCs/>
          <w:i/>
          <w:iCs/>
          <w:sz w:val="28"/>
          <w:szCs w:val="28"/>
        </w:rPr>
        <w:t>.</w:t>
      </w:r>
    </w:p>
    <w:p w14:paraId="1F7A40AD" w14:textId="77777777" w:rsidR="00FD1478" w:rsidRPr="00FD1478" w:rsidRDefault="00FD1478" w:rsidP="00FD1478">
      <w:pPr>
        <w:pStyle w:val="NormalWeb"/>
        <w:rPr>
          <w:i/>
          <w:iCs/>
          <w:sz w:val="28"/>
          <w:szCs w:val="28"/>
        </w:rPr>
      </w:pPr>
      <w:r w:rsidRPr="00FD1478">
        <w:rPr>
          <w:i/>
          <w:iCs/>
          <w:sz w:val="28"/>
          <w:szCs w:val="28"/>
        </w:rPr>
        <w:t>La ceftriaxone et les fluoroquinolones n’ont aucune place dans le traitement de la cystite aiguë (ni à visée probabiliste ni après documentation).</w:t>
      </w:r>
    </w:p>
    <w:p w14:paraId="5E997363" w14:textId="77777777" w:rsidR="00FD1478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</w:p>
    <w:p w14:paraId="3FEC8245" w14:textId="77777777" w:rsidR="00FD1478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</w:p>
    <w:p w14:paraId="6F4E5AB8" w14:textId="77777777" w:rsidR="00FD1478" w:rsidRPr="00B27F5B" w:rsidRDefault="00FD1478" w:rsidP="00FD1478">
      <w:pPr>
        <w:spacing w:after="0" w:line="240" w:lineRule="auto"/>
        <w:rPr>
          <w:rFonts w:ascii="Times New Roman" w:eastAsia="Times New Roman" w:hAnsi="Times New Roman" w:cs="Times New Roman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B27F5B">
        <w:rPr>
          <w:rFonts w:ascii="Times New Roman" w:hAnsi="Times New Roman" w:cs="Times New Roman"/>
          <w:sz w:val="24"/>
          <w:szCs w:val="24"/>
        </w:rPr>
        <w:t>Vous avez prescrit de la fosfomycine. Peu après le patient vous rappelle car la pharmacie lui demande de payer 4 euros le sachet pour lui délivrer le traitement.</w:t>
      </w:r>
    </w:p>
    <w:p w14:paraId="2BFB33E4" w14:textId="77777777" w:rsidR="00FD1478" w:rsidRDefault="00FD1478" w:rsidP="00FD1478">
      <w:pPr>
        <w:rPr>
          <w:rFonts w:ascii="Arial" w:hAnsi="Arial" w:cs="Arial"/>
          <w:color w:val="1F3864" w:themeColor="accent1" w:themeShade="80"/>
        </w:rPr>
      </w:pPr>
    </w:p>
    <w:p w14:paraId="5F026CCC" w14:textId="77777777" w:rsidR="00FD1478" w:rsidRDefault="00FD1478" w:rsidP="00FD1478">
      <w:pPr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</w:pPr>
      <w:r w:rsidRPr="006E2F5B"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  <w:u w:val="single"/>
        </w:rPr>
        <w:t xml:space="preserve">Question </w:t>
      </w:r>
      <w:r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  <w:u w:val="single"/>
        </w:rPr>
        <w:t>3</w:t>
      </w:r>
      <w:r w:rsidRPr="006E2F5B"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  <w:t xml:space="preserve"> :</w:t>
      </w:r>
      <w:r w:rsidRPr="006E2F5B">
        <w:rPr>
          <w:rStyle w:val="m7eme"/>
          <w:rFonts w:ascii="Arial" w:hAnsi="Arial" w:cs="Arial"/>
          <w:b/>
          <w:bCs/>
          <w:color w:val="1F3864" w:themeColor="accent1" w:themeShade="80"/>
        </w:rPr>
        <w:t xml:space="preserve">  </w:t>
      </w:r>
      <w:r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  <w:t>Qu’en pensez-vous</w:t>
      </w:r>
      <w:r w:rsidRPr="005C5624"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  <w:t> ?</w:t>
      </w:r>
    </w:p>
    <w:p w14:paraId="7B14A612" w14:textId="77777777" w:rsidR="00FD1478" w:rsidRDefault="00FD1478" w:rsidP="00FD1478">
      <w:pPr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</w:pPr>
    </w:p>
    <w:p w14:paraId="62340A2E" w14:textId="77777777" w:rsidR="00FD1478" w:rsidRPr="00C609AF" w:rsidRDefault="00FD1478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fr-FR"/>
          <w14:ligatures w14:val="none"/>
        </w:rPr>
      </w:pPr>
      <w:r w:rsidRPr="00C609AF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fr-FR"/>
          <w14:ligatures w14:val="none"/>
        </w:rPr>
        <w:t xml:space="preserve">A. C’est normal, la fosfomycine est hors AMM chez l’homme à ce jour </w:t>
      </w:r>
    </w:p>
    <w:p w14:paraId="01777A7B" w14:textId="77777777" w:rsidR="00FD1478" w:rsidRPr="00C609AF" w:rsidRDefault="00FD1478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fr-FR"/>
          <w14:ligatures w14:val="none"/>
        </w:rPr>
      </w:pPr>
      <w:r w:rsidRPr="00C609AF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fr-FR"/>
          <w14:ligatures w14:val="none"/>
        </w:rPr>
        <w:t xml:space="preserve">B. Vous auriez dû en informer le patient </w:t>
      </w:r>
    </w:p>
    <w:p w14:paraId="5FA26625" w14:textId="77777777" w:rsidR="00FD1478" w:rsidRPr="00C609AF" w:rsidRDefault="00FD1478" w:rsidP="00FD1478">
      <w:pPr>
        <w:spacing w:after="0" w:line="240" w:lineRule="auto"/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fr-FR"/>
          <w14:ligatures w14:val="none"/>
        </w:rPr>
      </w:pPr>
      <w:r w:rsidRPr="00C609AF">
        <w:rPr>
          <w:rFonts w:ascii="Arial" w:eastAsia="Times New Roman" w:hAnsi="Arial" w:cs="Arial"/>
          <w:b/>
          <w:bCs/>
          <w:color w:val="00B050"/>
          <w:kern w:val="0"/>
          <w:sz w:val="28"/>
          <w:szCs w:val="28"/>
          <w:lang w:eastAsia="fr-FR"/>
          <w14:ligatures w14:val="none"/>
        </w:rPr>
        <w:t xml:space="preserve">C. Vous auriez dû inclure une mention spécifique sur l’ordonnance </w:t>
      </w:r>
    </w:p>
    <w:p w14:paraId="743592C0" w14:textId="77777777" w:rsidR="00FD1478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D. Il n’y aurait pas eu de problème si vous aviez prescrit du </w:t>
      </w:r>
      <w:proofErr w:type="spellStart"/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pivmécillinam</w:t>
      </w:r>
      <w:proofErr w:type="spellEnd"/>
    </w:p>
    <w:p w14:paraId="48AC24EB" w14:textId="77777777" w:rsidR="00C609AF" w:rsidRDefault="00C609AF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</w:p>
    <w:p w14:paraId="6E4DA677" w14:textId="77777777" w:rsidR="00C609AF" w:rsidRPr="00C609AF" w:rsidRDefault="00C609AF" w:rsidP="00C609AF">
      <w:pPr>
        <w:pStyle w:val="NormalWeb"/>
        <w:rPr>
          <w:i/>
          <w:iCs/>
          <w:sz w:val="28"/>
          <w:szCs w:val="28"/>
        </w:rPr>
      </w:pPr>
      <w:r w:rsidRPr="00C609AF">
        <w:rPr>
          <w:i/>
          <w:iCs/>
          <w:sz w:val="28"/>
          <w:szCs w:val="28"/>
        </w:rPr>
        <w:t>La plupart des antibiotiques recommandés pour le traitement des cystites masculines n’ont pas d’AMM pour cette indication à ce jour.</w:t>
      </w:r>
    </w:p>
    <w:p w14:paraId="33F8084F" w14:textId="77777777" w:rsidR="00C609AF" w:rsidRPr="00C609AF" w:rsidRDefault="00C609AF" w:rsidP="00C609AF">
      <w:pPr>
        <w:pStyle w:val="NormalWeb"/>
        <w:rPr>
          <w:b/>
          <w:bCs/>
          <w:i/>
          <w:iCs/>
          <w:sz w:val="28"/>
          <w:szCs w:val="28"/>
        </w:rPr>
      </w:pPr>
      <w:r w:rsidRPr="00C609AF">
        <w:rPr>
          <w:b/>
          <w:bCs/>
          <w:i/>
          <w:iCs/>
          <w:sz w:val="28"/>
          <w:szCs w:val="28"/>
        </w:rPr>
        <w:lastRenderedPageBreak/>
        <w:t>Cela implique que l’assurance maladie ne les remboursera pas toujours même si leur intérêt dans cette indication n’est pas remis en cause. Le coût du traitement reste minime.</w:t>
      </w:r>
    </w:p>
    <w:p w14:paraId="4D6399E3" w14:textId="77777777" w:rsidR="00C609AF" w:rsidRPr="00C609AF" w:rsidRDefault="00C609AF" w:rsidP="00C609AF">
      <w:pPr>
        <w:pStyle w:val="NormalWeb"/>
        <w:rPr>
          <w:i/>
          <w:iCs/>
          <w:sz w:val="28"/>
          <w:szCs w:val="28"/>
        </w:rPr>
      </w:pPr>
      <w:r w:rsidRPr="00C609AF">
        <w:rPr>
          <w:i/>
          <w:iCs/>
          <w:sz w:val="28"/>
          <w:szCs w:val="28"/>
        </w:rPr>
        <w:t xml:space="preserve">Il est indispensable d’en informer les patients et de faire apparaitre sur l’ordonnance la mention </w:t>
      </w:r>
      <w:r w:rsidRPr="00C609AF">
        <w:rPr>
          <w:rStyle w:val="Accentuation"/>
          <w:i w:val="0"/>
          <w:iCs w:val="0"/>
          <w:sz w:val="28"/>
          <w:szCs w:val="28"/>
        </w:rPr>
        <w:t xml:space="preserve">« </w:t>
      </w:r>
      <w:r w:rsidRPr="00C609AF">
        <w:rPr>
          <w:rStyle w:val="Accentuation"/>
          <w:i w:val="0"/>
          <w:iCs w:val="0"/>
          <w:sz w:val="28"/>
          <w:szCs w:val="28"/>
          <w:u w:val="single"/>
        </w:rPr>
        <w:t>hors AMM mais prescription selon les recommandations nationales</w:t>
      </w:r>
      <w:r w:rsidRPr="00C609AF">
        <w:rPr>
          <w:rStyle w:val="Accentuation"/>
          <w:i w:val="0"/>
          <w:iCs w:val="0"/>
          <w:sz w:val="28"/>
          <w:szCs w:val="28"/>
        </w:rPr>
        <w:t xml:space="preserve"> »</w:t>
      </w:r>
      <w:r w:rsidRPr="00C609AF">
        <w:rPr>
          <w:i/>
          <w:iCs/>
          <w:sz w:val="28"/>
          <w:szCs w:val="28"/>
        </w:rPr>
        <w:t>.</w:t>
      </w:r>
    </w:p>
    <w:p w14:paraId="61DDBEC5" w14:textId="26C1C0A4" w:rsidR="00FD1478" w:rsidRPr="00E54DFB" w:rsidRDefault="00C609AF" w:rsidP="00E54DFB">
      <w:pPr>
        <w:pStyle w:val="NormalWeb"/>
        <w:rPr>
          <w:rStyle w:val="m7eme"/>
        </w:rPr>
      </w:pPr>
      <w:r>
        <w:t> </w:t>
      </w:r>
    </w:p>
    <w:p w14:paraId="12EC7A50" w14:textId="77777777" w:rsidR="00FD1478" w:rsidRPr="00454A3A" w:rsidRDefault="00FD1478" w:rsidP="00FD1478">
      <w:pPr>
        <w:rPr>
          <w:rStyle w:val="m7eme"/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bout de 48h, l</w:t>
      </w:r>
      <w:r w:rsidRPr="00454A3A">
        <w:rPr>
          <w:rFonts w:ascii="Times New Roman" w:hAnsi="Times New Roman" w:cs="Times New Roman"/>
          <w:sz w:val="24"/>
          <w:szCs w:val="24"/>
        </w:rPr>
        <w:t xml:space="preserve">’ECBU revient positif à </w:t>
      </w:r>
      <w:r w:rsidRPr="00454A3A">
        <w:rPr>
          <w:rStyle w:val="Accentuation"/>
          <w:rFonts w:ascii="Times New Roman" w:hAnsi="Times New Roman" w:cs="Times New Roman"/>
          <w:sz w:val="24"/>
          <w:szCs w:val="24"/>
        </w:rPr>
        <w:t>Escherichia coli</w:t>
      </w:r>
      <w:r w:rsidRPr="00454A3A">
        <w:rPr>
          <w:rFonts w:ascii="Times New Roman" w:hAnsi="Times New Roman" w:cs="Times New Roman"/>
          <w:sz w:val="24"/>
          <w:szCs w:val="24"/>
        </w:rPr>
        <w:t xml:space="preserve"> avec une sensibilité à tous les antibiotiques testés. Le patient va mieux et tolère bien l’antibiothérapie.</w:t>
      </w:r>
    </w:p>
    <w:p w14:paraId="151D1460" w14:textId="77777777" w:rsidR="00FD1478" w:rsidRDefault="00FD1478" w:rsidP="00FD1478">
      <w:pPr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</w:pPr>
    </w:p>
    <w:p w14:paraId="17A35B07" w14:textId="77777777" w:rsidR="00FD1478" w:rsidRPr="00454A3A" w:rsidRDefault="00FD1478" w:rsidP="00FD1478">
      <w:pPr>
        <w:pStyle w:val="Titre3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:lang w:eastAsia="fr-FR"/>
          <w14:ligatures w14:val="none"/>
        </w:rPr>
      </w:pPr>
      <w:r w:rsidRPr="006E2F5B">
        <w:rPr>
          <w:rStyle w:val="m7eme"/>
          <w:rFonts w:ascii="Arial" w:hAnsi="Arial" w:cs="Arial"/>
          <w:b/>
          <w:bCs/>
          <w:color w:val="1F3864" w:themeColor="accent1" w:themeShade="80"/>
          <w:u w:val="single"/>
        </w:rPr>
        <w:t>Question</w:t>
      </w:r>
      <w:r>
        <w:rPr>
          <w:rStyle w:val="m7eme"/>
          <w:rFonts w:ascii="Arial" w:hAnsi="Arial" w:cs="Arial"/>
          <w:b/>
          <w:bCs/>
          <w:color w:val="1F3864" w:themeColor="accent1" w:themeShade="80"/>
          <w:u w:val="single"/>
        </w:rPr>
        <w:t xml:space="preserve"> 4</w:t>
      </w:r>
      <w:r w:rsidRPr="006E2F5B">
        <w:rPr>
          <w:rStyle w:val="m7eme"/>
          <w:rFonts w:ascii="Arial" w:hAnsi="Arial" w:cs="Arial"/>
          <w:b/>
          <w:bCs/>
          <w:color w:val="1F3864" w:themeColor="accent1" w:themeShade="80"/>
        </w:rPr>
        <w:t xml:space="preserve"> :  </w:t>
      </w:r>
      <w:r w:rsidRPr="00454A3A">
        <w:rPr>
          <w:rFonts w:ascii="Arial" w:eastAsia="Times New Roman" w:hAnsi="Arial" w:cs="Arial"/>
          <w:b/>
          <w:bCs/>
          <w:color w:val="1F3864" w:themeColor="accent1" w:themeShade="80"/>
          <w:kern w:val="0"/>
          <w:lang w:eastAsia="fr-FR"/>
          <w14:ligatures w14:val="none"/>
        </w:rPr>
        <w:t>Par quel antibiotique poursuivez-vous le traitement et pour quelle durée totale ?</w:t>
      </w:r>
    </w:p>
    <w:p w14:paraId="70E7DF33" w14:textId="77777777" w:rsidR="00FD1478" w:rsidRDefault="00FD1478" w:rsidP="00FD1478">
      <w:pPr>
        <w:rPr>
          <w:rStyle w:val="m7eme"/>
          <w:rFonts w:ascii="Arial" w:hAnsi="Arial" w:cs="Arial"/>
          <w:b/>
          <w:bCs/>
          <w:color w:val="1F3864" w:themeColor="accent1" w:themeShade="80"/>
          <w:sz w:val="28"/>
          <w:szCs w:val="28"/>
        </w:rPr>
      </w:pPr>
    </w:p>
    <w:p w14:paraId="0A6AA88F" w14:textId="77777777" w:rsidR="00FD1478" w:rsidRPr="00454A3A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A. </w:t>
      </w:r>
      <w:r w:rsidRPr="00C609AF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lang w:eastAsia="fr-FR"/>
          <w14:ligatures w14:val="none"/>
        </w:rPr>
        <w:t>Fosfomycine pour 5 jours (J1-J3-J5)</w:t>
      </w:r>
      <w:r w:rsidRPr="00C609AF">
        <w:rPr>
          <w:rFonts w:ascii="Arial" w:eastAsia="Times New Roman" w:hAnsi="Arial" w:cs="Arial"/>
          <w:color w:val="00B050"/>
          <w:kern w:val="0"/>
          <w:sz w:val="24"/>
          <w:szCs w:val="24"/>
          <w:lang w:eastAsia="fr-FR"/>
          <w14:ligatures w14:val="none"/>
        </w:rPr>
        <w:t xml:space="preserve"> </w:t>
      </w:r>
    </w:p>
    <w:p w14:paraId="38D12155" w14:textId="77777777" w:rsidR="00FD1478" w:rsidRPr="00454A3A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B. </w:t>
      </w:r>
      <w:proofErr w:type="spellStart"/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Pivmécillinam</w:t>
      </w:r>
      <w:proofErr w:type="spellEnd"/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pour 7 jours </w:t>
      </w:r>
    </w:p>
    <w:p w14:paraId="49F89A3D" w14:textId="77777777" w:rsidR="00FD1478" w:rsidRPr="00454A3A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C. </w:t>
      </w:r>
      <w:proofErr w:type="spellStart"/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Pivmécillinam</w:t>
      </w:r>
      <w:proofErr w:type="spellEnd"/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 pour 10 jours </w:t>
      </w:r>
    </w:p>
    <w:p w14:paraId="6141E043" w14:textId="77777777" w:rsidR="00FD1478" w:rsidRPr="00454A3A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D. Ciprofloxacine pour 7 jours </w:t>
      </w:r>
    </w:p>
    <w:p w14:paraId="37455CD5" w14:textId="77777777" w:rsidR="00FD1478" w:rsidRPr="00454A3A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 xml:space="preserve">E. Ciprofloxacine pour 14 jours </w:t>
      </w:r>
    </w:p>
    <w:p w14:paraId="7B071FD5" w14:textId="77777777" w:rsidR="00FD1478" w:rsidRPr="00454A3A" w:rsidRDefault="00FD1478" w:rsidP="00FD1478">
      <w:pPr>
        <w:spacing w:after="0" w:line="240" w:lineRule="auto"/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</w:pPr>
      <w:r w:rsidRPr="00454A3A">
        <w:rPr>
          <w:rFonts w:ascii="Arial" w:eastAsia="Times New Roman" w:hAnsi="Arial" w:cs="Arial"/>
          <w:color w:val="1F3864" w:themeColor="accent1" w:themeShade="80"/>
          <w:kern w:val="0"/>
          <w:sz w:val="24"/>
          <w:szCs w:val="24"/>
          <w:lang w:eastAsia="fr-FR"/>
          <w14:ligatures w14:val="none"/>
        </w:rPr>
        <w:t>F. Cotrimoxazole pour 7 jours</w:t>
      </w:r>
    </w:p>
    <w:p w14:paraId="7C52ABE4" w14:textId="77777777" w:rsidR="00F879A8" w:rsidRDefault="00F879A8"/>
    <w:p w14:paraId="39890BF6" w14:textId="72081A75" w:rsidR="00C609AF" w:rsidRPr="00E54DFB" w:rsidRDefault="00C609AF" w:rsidP="00E54DFB">
      <w:pPr>
        <w:pStyle w:val="NormalWeb"/>
        <w:rPr>
          <w:i/>
          <w:iCs/>
          <w:sz w:val="28"/>
          <w:szCs w:val="28"/>
        </w:rPr>
      </w:pPr>
      <w:r w:rsidRPr="00C609AF">
        <w:rPr>
          <w:i/>
          <w:iCs/>
          <w:sz w:val="28"/>
          <w:szCs w:val="28"/>
        </w:rPr>
        <w:t xml:space="preserve">Dans la cystite de l’homme, si l’antibiothérapie probabiliste est efficace sur l’antibiogramme et bien tolérée, celle-ci est poursuivie. </w:t>
      </w:r>
      <w:r w:rsidRPr="00C609AF">
        <w:rPr>
          <w:b/>
          <w:bCs/>
          <w:i/>
          <w:iCs/>
          <w:sz w:val="28"/>
          <w:szCs w:val="28"/>
        </w:rPr>
        <w:t>La durée totale de traitement recommandée pour une cystite de l’homme est de 7 jours, sauf pour la fosfomycine où le traitement est de 5 jours avec une administration à J1-J3-J5.</w:t>
      </w:r>
    </w:p>
    <w:p w14:paraId="26CC88B2" w14:textId="77777777" w:rsidR="00C609AF" w:rsidRDefault="00C609AF" w:rsidP="00C609AF">
      <w:pPr>
        <w:pStyle w:val="NormalWeb"/>
      </w:pPr>
      <w:r w:rsidRPr="00C609AF">
        <w:rPr>
          <w:rStyle w:val="Accentuation"/>
          <w:b/>
          <w:bCs/>
          <w:sz w:val="28"/>
          <w:szCs w:val="28"/>
          <w:u w:val="single"/>
        </w:rPr>
        <w:t xml:space="preserve">Sources </w:t>
      </w:r>
      <w:r>
        <w:rPr>
          <w:rStyle w:val="Accentuation"/>
        </w:rPr>
        <w:t>:</w:t>
      </w:r>
    </w:p>
    <w:p w14:paraId="0FA4CD17" w14:textId="77777777" w:rsidR="00C609AF" w:rsidRDefault="00C609AF" w:rsidP="00C609AF">
      <w:pPr>
        <w:pStyle w:val="NormalWeb"/>
      </w:pPr>
      <w:hyperlink r:id="rId5" w:tgtFrame="_blank" w:history="1">
        <w:r>
          <w:rPr>
            <w:rStyle w:val="Lienhypertexte"/>
            <w:i/>
            <w:iCs/>
          </w:rPr>
          <w:t xml:space="preserve">Updated guidelines for management of </w:t>
        </w:r>
        <w:proofErr w:type="spellStart"/>
        <w:r>
          <w:rPr>
            <w:rStyle w:val="Lienhypertexte"/>
            <w:i/>
            <w:iCs/>
          </w:rPr>
          <w:t>community-acquired</w:t>
        </w:r>
        <w:proofErr w:type="spellEnd"/>
        <w:r>
          <w:rPr>
            <w:rStyle w:val="Lienhypertexte"/>
            <w:i/>
            <w:iCs/>
          </w:rPr>
          <w:t xml:space="preserve"> </w:t>
        </w:r>
        <w:proofErr w:type="spellStart"/>
        <w:r>
          <w:rPr>
            <w:rStyle w:val="Lienhypertexte"/>
            <w:i/>
            <w:iCs/>
          </w:rPr>
          <w:t>urinary</w:t>
        </w:r>
        <w:proofErr w:type="spellEnd"/>
        <w:r>
          <w:rPr>
            <w:rStyle w:val="Lienhypertexte"/>
            <w:i/>
            <w:iCs/>
          </w:rPr>
          <w:t xml:space="preserve"> tract infections in </w:t>
        </w:r>
        <w:proofErr w:type="spellStart"/>
        <w:r>
          <w:rPr>
            <w:rStyle w:val="Lienhypertexte"/>
            <w:i/>
            <w:iCs/>
          </w:rPr>
          <w:t>adult</w:t>
        </w:r>
        <w:proofErr w:type="spellEnd"/>
        <w:r>
          <w:rPr>
            <w:rStyle w:val="Lienhypertexte"/>
            <w:i/>
            <w:iCs/>
          </w:rPr>
          <w:t> </w:t>
        </w:r>
      </w:hyperlink>
      <w:r>
        <w:rPr>
          <w:rStyle w:val="Accentuation"/>
        </w:rPr>
        <w:t> </w:t>
      </w:r>
    </w:p>
    <w:p w14:paraId="405C9637" w14:textId="77777777" w:rsidR="00C609AF" w:rsidRDefault="00C609AF" w:rsidP="00C609AF">
      <w:pPr>
        <w:pStyle w:val="NormalWeb"/>
      </w:pPr>
      <w:hyperlink r:id="rId6" w:tgtFrame="_blank" w:history="1">
        <w:r>
          <w:rPr>
            <w:rStyle w:val="Lienhypertexte"/>
            <w:i/>
            <w:iCs/>
          </w:rPr>
          <w:t>Diaporama du groupe recommandations de la SPILF sur les infections urinaires masculines communautaires </w:t>
        </w:r>
      </w:hyperlink>
      <w:r>
        <w:rPr>
          <w:rStyle w:val="Accentuation"/>
        </w:rPr>
        <w:t> </w:t>
      </w:r>
    </w:p>
    <w:p w14:paraId="3AFB91ED" w14:textId="77777777" w:rsidR="00C609AF" w:rsidRDefault="00C609AF" w:rsidP="00C609AF">
      <w:pPr>
        <w:pStyle w:val="NormalWeb"/>
      </w:pPr>
      <w:hyperlink r:id="rId7" w:tgtFrame="_blank" w:history="1">
        <w:r>
          <w:rPr>
            <w:rStyle w:val="Lienhypertexte"/>
            <w:i/>
            <w:iCs/>
          </w:rPr>
          <w:t>Info-antibio n°109 : Infections urinaires masculines : antibiothérapie</w:t>
        </w:r>
      </w:hyperlink>
      <w:r>
        <w:rPr>
          <w:rStyle w:val="Accentuation"/>
        </w:rPr>
        <w:t> </w:t>
      </w:r>
    </w:p>
    <w:p w14:paraId="6019F1AF" w14:textId="77777777" w:rsidR="00C609AF" w:rsidRDefault="00C609AF" w:rsidP="00C609AF">
      <w:pPr>
        <w:pStyle w:val="NormalWeb"/>
        <w:rPr>
          <w:rStyle w:val="Accentuation"/>
        </w:rPr>
      </w:pPr>
      <w:hyperlink r:id="rId8" w:tgtFrame="_blank" w:history="1">
        <w:r>
          <w:rPr>
            <w:rStyle w:val="Lienhypertexte"/>
            <w:i/>
            <w:iCs/>
          </w:rPr>
          <w:t xml:space="preserve">Cystite de l'homme | </w:t>
        </w:r>
        <w:proofErr w:type="spellStart"/>
        <w:r>
          <w:rPr>
            <w:rStyle w:val="Lienhypertexte"/>
            <w:i/>
            <w:iCs/>
          </w:rPr>
          <w:t>Antibioclic</w:t>
        </w:r>
        <w:proofErr w:type="spellEnd"/>
      </w:hyperlink>
      <w:r>
        <w:rPr>
          <w:rStyle w:val="Accentuation"/>
        </w:rPr>
        <w:t> </w:t>
      </w:r>
    </w:p>
    <w:p w14:paraId="67398429" w14:textId="3C63E32C" w:rsidR="00C609AF" w:rsidRPr="00C609AF" w:rsidRDefault="00C609AF" w:rsidP="00C609AF">
      <w:pPr>
        <w:pStyle w:val="NormalWeb"/>
        <w:rPr>
          <w:color w:val="2E74B5" w:themeColor="accent5" w:themeShade="BF"/>
          <w:sz w:val="28"/>
          <w:szCs w:val="28"/>
          <w:u w:val="single"/>
        </w:rPr>
      </w:pPr>
      <w:r w:rsidRPr="00C609AF">
        <w:rPr>
          <w:rStyle w:val="Accentuation"/>
          <w:color w:val="2E74B5" w:themeColor="accent5" w:themeShade="BF"/>
          <w:sz w:val="28"/>
          <w:szCs w:val="28"/>
          <w:u w:val="single"/>
        </w:rPr>
        <w:t>Antibioest.org : Newsletter Septembre 2026</w:t>
      </w:r>
    </w:p>
    <w:p w14:paraId="698E7D60" w14:textId="77777777" w:rsidR="00C609AF" w:rsidRDefault="00C609AF"/>
    <w:sectPr w:rsidR="00C609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D4E85"/>
    <w:multiLevelType w:val="hybridMultilevel"/>
    <w:tmpl w:val="D5D84AB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30B6B"/>
    <w:multiLevelType w:val="hybridMultilevel"/>
    <w:tmpl w:val="40C89B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138744">
    <w:abstractNumId w:val="1"/>
  </w:num>
  <w:num w:numId="2" w16cid:durableId="13410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78"/>
    <w:rsid w:val="00242EAA"/>
    <w:rsid w:val="003050F6"/>
    <w:rsid w:val="006146C9"/>
    <w:rsid w:val="00C609AF"/>
    <w:rsid w:val="00DE48FD"/>
    <w:rsid w:val="00E54B9F"/>
    <w:rsid w:val="00E54DFB"/>
    <w:rsid w:val="00F879A8"/>
    <w:rsid w:val="00FD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4F8C7"/>
  <w15:chartTrackingRefBased/>
  <w15:docId w15:val="{BA528699-C2B9-4ADA-822B-A3B051F7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478"/>
  </w:style>
  <w:style w:type="paragraph" w:styleId="Titre1">
    <w:name w:val="heading 1"/>
    <w:basedOn w:val="Normal"/>
    <w:next w:val="Normal"/>
    <w:link w:val="Titre1Car"/>
    <w:uiPriority w:val="9"/>
    <w:qFormat/>
    <w:rsid w:val="00FD1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1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14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1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14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1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1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1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1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14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1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14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147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147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14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14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14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14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1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1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1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1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1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14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14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147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14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147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1478"/>
    <w:rPr>
      <w:b/>
      <w:bCs/>
      <w:smallCaps/>
      <w:color w:val="2F5496" w:themeColor="accent1" w:themeShade="BF"/>
      <w:spacing w:val="5"/>
    </w:rPr>
  </w:style>
  <w:style w:type="character" w:customStyle="1" w:styleId="m7eme">
    <w:name w:val="m7eme"/>
    <w:basedOn w:val="Policepardfaut"/>
    <w:rsid w:val="00FD1478"/>
  </w:style>
  <w:style w:type="paragraph" w:styleId="NormalWeb">
    <w:name w:val="Normal (Web)"/>
    <w:basedOn w:val="Normal"/>
    <w:uiPriority w:val="99"/>
    <w:unhideWhenUsed/>
    <w:rsid w:val="00FD1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FD1478"/>
    <w:rPr>
      <w:i/>
      <w:iCs/>
    </w:rPr>
  </w:style>
  <w:style w:type="character" w:styleId="lev">
    <w:name w:val="Strong"/>
    <w:basedOn w:val="Policepardfaut"/>
    <w:uiPriority w:val="22"/>
    <w:qFormat/>
    <w:rsid w:val="00FD1478"/>
    <w:rPr>
      <w:b/>
      <w:bCs/>
    </w:rPr>
  </w:style>
  <w:style w:type="character" w:styleId="Lienhypertexte">
    <w:name w:val="Hyperlink"/>
    <w:basedOn w:val="Policepardfaut"/>
    <w:uiPriority w:val="99"/>
    <w:semiHidden/>
    <w:unhideWhenUsed/>
    <w:rsid w:val="00C609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tibioclic.com/questionnaire/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fectiologie.com/UserFiles/File/spilf/atb/info-antibio/info-antibio-2026-06-ium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fectiologie.com/UserFiles/File/spilf/recos/spilf-groupe-recos-ium.pptx" TargetMode="External"/><Relationship Id="rId5" Type="http://schemas.openxmlformats.org/officeDocument/2006/relationships/hyperlink" Target="https://www.sciencedirect.com/science/article/pii/S266699192600069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717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Jean-Luc Gries</dc:creator>
  <cp:keywords/>
  <dc:description/>
  <cp:lastModifiedBy>Jean-Luc Gries</cp:lastModifiedBy>
  <cp:revision>3</cp:revision>
  <dcterms:created xsi:type="dcterms:W3CDTF">2026-10-04T07:57:00Z</dcterms:created>
  <dcterms:modified xsi:type="dcterms:W3CDTF">2026-10-08T17:22:00Z</dcterms:modified>
</cp:coreProperties>
</file>