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733D" w14:textId="466056CD" w:rsidR="00101EE9" w:rsidRPr="00101EE9" w:rsidRDefault="00101EE9" w:rsidP="00101EE9">
      <w:pPr>
        <w:pStyle w:val="PrformatHTML"/>
        <w:rPr>
          <w:rFonts w:ascii="Courier New" w:eastAsia="Times New Roman" w:hAnsi="Courier New" w:cs="Courier New"/>
          <w:b/>
          <w:bCs/>
          <w:kern w:val="0"/>
          <w:u w:val="single"/>
          <w:lang w:eastAsia="fr-FR"/>
          <w14:ligatures w14:val="none"/>
        </w:rPr>
      </w:pPr>
      <w:r>
        <w:rPr>
          <w:rFonts w:ascii="Times New Roman" w:eastAsia="Times New Roman" w:hAnsi="Times New Roman" w:cs="Times New Roman"/>
          <w:b/>
          <w:bCs/>
          <w:kern w:val="0"/>
          <w:sz w:val="24"/>
          <w:szCs w:val="24"/>
          <w:u w:val="single"/>
          <w:lang w:eastAsia="fr-FR"/>
          <w14:ligatures w14:val="none"/>
        </w:rPr>
        <w:t>Traduction du r</w:t>
      </w:r>
      <w:r w:rsidRPr="00101EE9">
        <w:rPr>
          <w:rFonts w:ascii="Times New Roman" w:eastAsia="Times New Roman" w:hAnsi="Times New Roman" w:cs="Times New Roman"/>
          <w:b/>
          <w:bCs/>
          <w:kern w:val="0"/>
          <w:sz w:val="24"/>
          <w:szCs w:val="24"/>
          <w:u w:val="single"/>
          <w:lang w:eastAsia="fr-FR"/>
          <w14:ligatures w14:val="none"/>
        </w:rPr>
        <w:t xml:space="preserve">ésumé </w:t>
      </w:r>
      <w:r>
        <w:rPr>
          <w:rFonts w:ascii="Times New Roman" w:eastAsia="Times New Roman" w:hAnsi="Times New Roman" w:cs="Times New Roman"/>
          <w:b/>
          <w:bCs/>
          <w:kern w:val="0"/>
          <w:sz w:val="24"/>
          <w:szCs w:val="24"/>
          <w:u w:val="single"/>
          <w:lang w:eastAsia="fr-FR"/>
          <w14:ligatures w14:val="none"/>
        </w:rPr>
        <w:t>de l’</w:t>
      </w:r>
      <w:r w:rsidRPr="00101EE9">
        <w:rPr>
          <w:rFonts w:ascii="Times New Roman" w:eastAsia="Times New Roman" w:hAnsi="Times New Roman" w:cs="Times New Roman"/>
          <w:b/>
          <w:bCs/>
          <w:kern w:val="0"/>
          <w:sz w:val="24"/>
          <w:szCs w:val="24"/>
          <w:u w:val="single"/>
          <w:lang w:eastAsia="fr-FR"/>
          <w14:ligatures w14:val="none"/>
        </w:rPr>
        <w:t>article « </w:t>
      </w:r>
      <w:r w:rsidRPr="00101EE9">
        <w:rPr>
          <w:rFonts w:ascii="Times New Roman" w:eastAsia="Times New Roman" w:hAnsi="Times New Roman" w:cs="Times New Roman"/>
          <w:b/>
          <w:bCs/>
          <w:kern w:val="0"/>
          <w:sz w:val="24"/>
          <w:szCs w:val="24"/>
          <w:u w:val="single"/>
          <w:lang w:eastAsia="fr-FR"/>
          <w14:ligatures w14:val="none"/>
        </w:rPr>
        <w:t>Recommandations cliniques de l'ESCMID sur l'évaluation et la prise en charge d'une allergie aux antibiotiques signalée</w:t>
      </w:r>
      <w:r w:rsidRPr="00101EE9">
        <w:rPr>
          <w:rFonts w:ascii="Times New Roman" w:eastAsia="Times New Roman" w:hAnsi="Times New Roman" w:cs="Times New Roman"/>
          <w:b/>
          <w:bCs/>
          <w:kern w:val="0"/>
          <w:sz w:val="24"/>
          <w:szCs w:val="24"/>
          <w:u w:val="single"/>
          <w:lang w:eastAsia="fr-FR"/>
          <w14:ligatures w14:val="none"/>
        </w:rPr>
        <w:t xml:space="preserve"> » dans </w:t>
      </w:r>
      <w:proofErr w:type="spellStart"/>
      <w:r w:rsidRPr="00101EE9">
        <w:rPr>
          <w:rFonts w:ascii="Times New Roman" w:eastAsia="Times New Roman" w:hAnsi="Times New Roman" w:cs="Times New Roman"/>
          <w:b/>
          <w:bCs/>
          <w:kern w:val="0"/>
          <w:sz w:val="24"/>
          <w:szCs w:val="24"/>
          <w:u w:val="single"/>
          <w:lang w:eastAsia="fr-FR"/>
          <w14:ligatures w14:val="none"/>
        </w:rPr>
        <w:t>Clinical</w:t>
      </w:r>
      <w:proofErr w:type="spellEnd"/>
      <w:r w:rsidRPr="00101EE9">
        <w:rPr>
          <w:rFonts w:ascii="Times New Roman" w:eastAsia="Times New Roman" w:hAnsi="Times New Roman" w:cs="Times New Roman"/>
          <w:b/>
          <w:bCs/>
          <w:kern w:val="0"/>
          <w:sz w:val="24"/>
          <w:szCs w:val="24"/>
          <w:u w:val="single"/>
          <w:lang w:eastAsia="fr-FR"/>
          <w14:ligatures w14:val="none"/>
        </w:rPr>
        <w:t xml:space="preserve"> </w:t>
      </w:r>
      <w:proofErr w:type="spellStart"/>
      <w:r w:rsidRPr="00101EE9">
        <w:rPr>
          <w:rFonts w:ascii="Times New Roman" w:eastAsia="Times New Roman" w:hAnsi="Times New Roman" w:cs="Times New Roman"/>
          <w:b/>
          <w:bCs/>
          <w:kern w:val="0"/>
          <w:sz w:val="24"/>
          <w:szCs w:val="24"/>
          <w:u w:val="single"/>
          <w:lang w:eastAsia="fr-FR"/>
          <w14:ligatures w14:val="none"/>
        </w:rPr>
        <w:t>Microbiology</w:t>
      </w:r>
      <w:proofErr w:type="spellEnd"/>
      <w:r w:rsidRPr="00101EE9">
        <w:rPr>
          <w:rFonts w:ascii="Times New Roman" w:eastAsia="Times New Roman" w:hAnsi="Times New Roman" w:cs="Times New Roman"/>
          <w:b/>
          <w:bCs/>
          <w:kern w:val="0"/>
          <w:sz w:val="24"/>
          <w:szCs w:val="24"/>
          <w:u w:val="single"/>
          <w:lang w:eastAsia="fr-FR"/>
          <w14:ligatures w14:val="none"/>
        </w:rPr>
        <w:t xml:space="preserve"> and Infection 2026</w:t>
      </w:r>
    </w:p>
    <w:p w14:paraId="5D6555C3" w14:textId="4C62C5D3" w:rsid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p>
    <w:p w14:paraId="4A96C76A" w14:textId="77777777" w:rsid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p>
    <w:p w14:paraId="29082D02" w14:textId="139808D0" w:rsidR="00101EE9" w:rsidRP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r w:rsidRPr="00101EE9">
        <w:rPr>
          <w:rFonts w:ascii="Times New Roman" w:eastAsia="Times New Roman" w:hAnsi="Times New Roman" w:cs="Times New Roman"/>
          <w:kern w:val="0"/>
          <w:sz w:val="24"/>
          <w:szCs w:val="24"/>
          <w:lang w:eastAsia="fr-FR"/>
          <w14:ligatures w14:val="none"/>
        </w:rPr>
        <w:t>Les allergies aux antibiotiques figurent parmi les allergies médicamenteuses les plus fréquemment documentées dans les dossiers cliniques. Il est bien établi que seule une faible proportion — estimée entre 5 % et 10 % — correspond à une véritable hypersensibilité d'origine immunitaire. Une classification erronée peut contribuer au développement de l'antibiorésistance en raison de la prescription de traitements antimicrobiens sous-optimaux (par exemple, l'évitement injustifié d'antibiotiques de première intention), d'une utilisation accrue d'agents à large spectre et de complications telles que la toxicité médicamenteuse. Ces lignes directrices, élaborées par la Société européenne de microbiologie clinique et de maladies infectieuses (ESCMID), fournissent des recommandations fondées sur des données probantes pour l'évaluation clinique et la prise en charge des patients signalant une allergie aux antibiotiques. Elles s'adressent aux cliniciens non allergologues et visent à harmoniser les pratiques dans les établissements de santé, en Europe et au-delà.</w:t>
      </w:r>
    </w:p>
    <w:p w14:paraId="39B37EBE" w14:textId="77777777" w:rsidR="00101EE9" w:rsidRP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r w:rsidRPr="00101EE9">
        <w:rPr>
          <w:rFonts w:ascii="Times New Roman" w:eastAsia="Times New Roman" w:hAnsi="Times New Roman" w:cs="Times New Roman"/>
          <w:kern w:val="0"/>
          <w:sz w:val="24"/>
          <w:szCs w:val="24"/>
          <w:lang w:eastAsia="fr-FR"/>
          <w14:ligatures w14:val="none"/>
        </w:rPr>
        <w:t>Méthodes : Ces lignes directrices ont été élaborées par un groupe multidisciplinaire de 16 experts en maladies infectieuses, allergologie, pharmacie, pédiatrie et microbiologie clinique, selon une approche modifiée « GRADE-ADOLOPMENT ».</w:t>
      </w:r>
    </w:p>
    <w:p w14:paraId="361210C5" w14:textId="77777777" w:rsidR="00101EE9" w:rsidRP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p>
    <w:p w14:paraId="6E1A35EC" w14:textId="77777777" w:rsidR="00101EE9" w:rsidRP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r w:rsidRPr="00101EE9">
        <w:rPr>
          <w:rFonts w:ascii="Times New Roman" w:eastAsia="Times New Roman" w:hAnsi="Times New Roman" w:cs="Times New Roman"/>
          <w:kern w:val="0"/>
          <w:sz w:val="24"/>
          <w:szCs w:val="24"/>
          <w:lang w:eastAsia="fr-FR"/>
          <w14:ligatures w14:val="none"/>
        </w:rPr>
        <w:t xml:space="preserve">Des recherches systématiques ont été effectuées dans PubMed et la base de données Trip (2015-2023) pour identifier les lignes directrices pertinentes, complétées par une recherche systématique supplémentaire d'études primaires (2021-2024). Les lignes directrices retenues ont été évaluées à l'aide de l'échelle d'évaluation globale AGREE. Quatre lignes directrices existantes, datant de 2022 et 2023, répondaient aux critères de qualité méthodologique et ont été incluses. Des questions clés ont été identifiées et hiérarchisées par le groupe d'experts, et les données pertinentes ont été extraites à l'aide de fiches standardisées basées sur le cadre « Evidence to </w:t>
      </w:r>
      <w:proofErr w:type="spellStart"/>
      <w:r w:rsidRPr="00101EE9">
        <w:rPr>
          <w:rFonts w:ascii="Times New Roman" w:eastAsia="Times New Roman" w:hAnsi="Times New Roman" w:cs="Times New Roman"/>
          <w:kern w:val="0"/>
          <w:sz w:val="24"/>
          <w:szCs w:val="24"/>
          <w:lang w:eastAsia="fr-FR"/>
          <w14:ligatures w14:val="none"/>
        </w:rPr>
        <w:t>Decision</w:t>
      </w:r>
      <w:proofErr w:type="spellEnd"/>
      <w:r w:rsidRPr="00101EE9">
        <w:rPr>
          <w:rFonts w:ascii="Times New Roman" w:eastAsia="Times New Roman" w:hAnsi="Times New Roman" w:cs="Times New Roman"/>
          <w:kern w:val="0"/>
          <w:sz w:val="24"/>
          <w:szCs w:val="24"/>
          <w:lang w:eastAsia="fr-FR"/>
          <w14:ligatures w14:val="none"/>
        </w:rPr>
        <w:t xml:space="preserve"> » (des données probantes à la décision). Le groupe a élaboré des recommandations en adoptant, adaptant ou formulant de nouvelles préconisations, au moyen d'un processus itératif de travail et de recherche de consensus. Toutes les recommandations ont été finalisées après discussion au sein du groupe et un vote formel, le consensus étant défini par l'accord d'au moins 80 % des membres.</w:t>
      </w:r>
    </w:p>
    <w:p w14:paraId="7E938F33" w14:textId="77777777" w:rsidR="00101EE9" w:rsidRPr="00101EE9" w:rsidRDefault="00101EE9" w:rsidP="0010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fr-FR"/>
          <w14:ligatures w14:val="none"/>
        </w:rPr>
      </w:pPr>
      <w:r w:rsidRPr="00101EE9">
        <w:rPr>
          <w:rFonts w:ascii="Times New Roman" w:eastAsia="Times New Roman" w:hAnsi="Times New Roman" w:cs="Times New Roman"/>
          <w:kern w:val="0"/>
          <w:sz w:val="24"/>
          <w:szCs w:val="24"/>
          <w:lang w:eastAsia="fr-FR"/>
          <w14:ligatures w14:val="none"/>
        </w:rPr>
        <w:t>Recommandations : Ces lignes directrices préconisent une évaluation clinique structurée pour examiner une allergie aux antibiotiques signalée, en tenant compte des caractéristiques de la réaction initiale. Lorsque les antécédents cliniques suggèrent une probabilité très faible ou faible de véritable allergie, il est approprié de procéder directement à la levée de l'étiquette d'allergie ou de réaliser un test de provocation médicamenteuse contrôlé. En favorisant l'évaluation des allergies et des pratiques de prescription prudentes, ces recommandations visent à améliorer les résultats cliniques pour les patients et à renforcer les objectifs de bon usage des antimicrobiens.</w:t>
      </w:r>
    </w:p>
    <w:p w14:paraId="1030F411" w14:textId="77777777" w:rsidR="00F879A8" w:rsidRDefault="00F879A8"/>
    <w:sectPr w:rsidR="00F879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EE9"/>
    <w:rsid w:val="00101EE9"/>
    <w:rsid w:val="00242EAA"/>
    <w:rsid w:val="00766744"/>
    <w:rsid w:val="00DE48FD"/>
    <w:rsid w:val="00F879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DAC2"/>
  <w15:chartTrackingRefBased/>
  <w15:docId w15:val="{63C72228-49BD-4FCD-BAE7-5BB43D5AB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01E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01E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01EE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01EE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01EE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01EE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1EE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1EE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1EE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1EE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01EE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01EE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01EE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01EE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01EE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1EE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1EE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1EE9"/>
    <w:rPr>
      <w:rFonts w:eastAsiaTheme="majorEastAsia" w:cstheme="majorBidi"/>
      <w:color w:val="272727" w:themeColor="text1" w:themeTint="D8"/>
    </w:rPr>
  </w:style>
  <w:style w:type="paragraph" w:styleId="Titre">
    <w:name w:val="Title"/>
    <w:basedOn w:val="Normal"/>
    <w:next w:val="Normal"/>
    <w:link w:val="TitreCar"/>
    <w:uiPriority w:val="10"/>
    <w:qFormat/>
    <w:rsid w:val="00101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1EE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1EE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1EE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1EE9"/>
    <w:pPr>
      <w:spacing w:before="160"/>
      <w:jc w:val="center"/>
    </w:pPr>
    <w:rPr>
      <w:i/>
      <w:iCs/>
      <w:color w:val="404040" w:themeColor="text1" w:themeTint="BF"/>
    </w:rPr>
  </w:style>
  <w:style w:type="character" w:customStyle="1" w:styleId="CitationCar">
    <w:name w:val="Citation Car"/>
    <w:basedOn w:val="Policepardfaut"/>
    <w:link w:val="Citation"/>
    <w:uiPriority w:val="29"/>
    <w:rsid w:val="00101EE9"/>
    <w:rPr>
      <w:i/>
      <w:iCs/>
      <w:color w:val="404040" w:themeColor="text1" w:themeTint="BF"/>
    </w:rPr>
  </w:style>
  <w:style w:type="paragraph" w:styleId="Paragraphedeliste">
    <w:name w:val="List Paragraph"/>
    <w:basedOn w:val="Normal"/>
    <w:uiPriority w:val="34"/>
    <w:qFormat/>
    <w:rsid w:val="00101EE9"/>
    <w:pPr>
      <w:ind w:left="720"/>
      <w:contextualSpacing/>
    </w:pPr>
  </w:style>
  <w:style w:type="character" w:styleId="Accentuationintense">
    <w:name w:val="Intense Emphasis"/>
    <w:basedOn w:val="Policepardfaut"/>
    <w:uiPriority w:val="21"/>
    <w:qFormat/>
    <w:rsid w:val="00101EE9"/>
    <w:rPr>
      <w:i/>
      <w:iCs/>
      <w:color w:val="2F5496" w:themeColor="accent1" w:themeShade="BF"/>
    </w:rPr>
  </w:style>
  <w:style w:type="paragraph" w:styleId="Citationintense">
    <w:name w:val="Intense Quote"/>
    <w:basedOn w:val="Normal"/>
    <w:next w:val="Normal"/>
    <w:link w:val="CitationintenseCar"/>
    <w:uiPriority w:val="30"/>
    <w:qFormat/>
    <w:rsid w:val="00101E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01EE9"/>
    <w:rPr>
      <w:i/>
      <w:iCs/>
      <w:color w:val="2F5496" w:themeColor="accent1" w:themeShade="BF"/>
    </w:rPr>
  </w:style>
  <w:style w:type="character" w:styleId="Rfrenceintense">
    <w:name w:val="Intense Reference"/>
    <w:basedOn w:val="Policepardfaut"/>
    <w:uiPriority w:val="32"/>
    <w:qFormat/>
    <w:rsid w:val="00101EE9"/>
    <w:rPr>
      <w:b/>
      <w:bCs/>
      <w:smallCaps/>
      <w:color w:val="2F5496" w:themeColor="accent1" w:themeShade="BF"/>
      <w:spacing w:val="5"/>
    </w:rPr>
  </w:style>
  <w:style w:type="paragraph" w:styleId="PrformatHTML">
    <w:name w:val="HTML Preformatted"/>
    <w:basedOn w:val="Normal"/>
    <w:link w:val="PrformatHTMLCar"/>
    <w:uiPriority w:val="99"/>
    <w:semiHidden/>
    <w:unhideWhenUsed/>
    <w:rsid w:val="00101EE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101EE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500</Words>
  <Characters>2753</Characters>
  <Application>Microsoft Office Word</Application>
  <DocSecurity>0</DocSecurity>
  <Lines>22</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Gries</dc:creator>
  <cp:keywords/>
  <dc:description/>
  <cp:lastModifiedBy>Jean-Luc Gries</cp:lastModifiedBy>
  <cp:revision>1</cp:revision>
  <dcterms:created xsi:type="dcterms:W3CDTF">2026-08-28T13:19:00Z</dcterms:created>
  <dcterms:modified xsi:type="dcterms:W3CDTF">2026-08-28T13:25:00Z</dcterms:modified>
</cp:coreProperties>
</file>