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7618A" w14:textId="054A3CE2" w:rsidR="00B258BC" w:rsidRPr="0048178A" w:rsidRDefault="0048178A" w:rsidP="0048178A">
      <w:pPr>
        <w:pStyle w:val="NormalWeb"/>
        <w:shd w:val="clear" w:color="auto" w:fill="4472C4" w:themeFill="accent1"/>
        <w:spacing w:before="0" w:beforeAutospacing="0" w:after="0" w:afterAutospacing="0"/>
        <w:rPr>
          <w:rFonts w:ascii="Arial" w:hAnsi="Arial" w:cs="Arial"/>
          <w:b/>
          <w:bCs/>
          <w:color w:val="FFFFFF" w:themeColor="background1"/>
          <w:sz w:val="32"/>
          <w:szCs w:val="32"/>
        </w:rPr>
      </w:pPr>
      <w:r w:rsidRPr="0048178A">
        <w:rPr>
          <w:rFonts w:ascii="Arial" w:hAnsi="Arial" w:cs="Arial"/>
          <w:b/>
          <w:bCs/>
          <w:color w:val="FFFFFF" w:themeColor="background1"/>
          <w:sz w:val="32"/>
          <w:szCs w:val="32"/>
        </w:rPr>
        <w:t>RÉPONSES AU CAS CLINIQUE</w:t>
      </w:r>
    </w:p>
    <w:p w14:paraId="00ACA6F2" w14:textId="77777777" w:rsidR="00B258BC" w:rsidRPr="0048178A" w:rsidRDefault="00B258BC" w:rsidP="0048178A">
      <w:pPr>
        <w:pStyle w:val="NormalWeb"/>
        <w:spacing w:before="0" w:beforeAutospacing="0" w:after="0" w:afterAutospacing="0"/>
        <w:rPr>
          <w:rFonts w:ascii="Arial" w:hAnsi="Arial" w:cs="Arial"/>
        </w:rPr>
      </w:pPr>
    </w:p>
    <w:p w14:paraId="5AD2D075" w14:textId="14C5BB3C" w:rsidR="00B258BC" w:rsidRPr="0048178A" w:rsidRDefault="00B258BC" w:rsidP="0048178A">
      <w:pPr>
        <w:pStyle w:val="NormalWeb"/>
        <w:spacing w:before="0" w:beforeAutospacing="0" w:after="0" w:afterAutospacing="0"/>
        <w:rPr>
          <w:rFonts w:ascii="Arial" w:hAnsi="Arial" w:cs="Arial"/>
          <w:sz w:val="22"/>
          <w:szCs w:val="22"/>
        </w:rPr>
      </w:pPr>
      <w:r w:rsidRPr="0048178A">
        <w:rPr>
          <w:rFonts w:ascii="Arial" w:hAnsi="Arial" w:cs="Arial"/>
          <w:sz w:val="22"/>
          <w:szCs w:val="22"/>
        </w:rPr>
        <w:t>Un patient de 67 ans se présente à votre cabinet pour son contrôle annuel. Il est porteur d’une prothèse valvulaire depuis 7 ans, a une excellente hygiène bucco-dentaire et ne présente pas de maladie parodontale.</w:t>
      </w:r>
    </w:p>
    <w:p w14:paraId="7728EF05" w14:textId="77777777" w:rsidR="0048178A" w:rsidRDefault="0048178A" w:rsidP="0048178A">
      <w:pPr>
        <w:pStyle w:val="NormalWeb"/>
        <w:spacing w:before="0" w:beforeAutospacing="0" w:after="0" w:afterAutospacing="0"/>
        <w:rPr>
          <w:rFonts w:ascii="Arial" w:hAnsi="Arial" w:cs="Arial"/>
          <w:sz w:val="22"/>
          <w:szCs w:val="22"/>
        </w:rPr>
      </w:pPr>
    </w:p>
    <w:p w14:paraId="6493F3FD" w14:textId="17857D69" w:rsidR="00B258BC" w:rsidRPr="0048178A" w:rsidRDefault="00B258BC" w:rsidP="0048178A">
      <w:pPr>
        <w:pStyle w:val="NormalWeb"/>
        <w:spacing w:before="0" w:beforeAutospacing="0" w:after="0" w:afterAutospacing="0"/>
        <w:rPr>
          <w:rFonts w:ascii="Arial" w:hAnsi="Arial" w:cs="Arial"/>
          <w:sz w:val="22"/>
          <w:szCs w:val="22"/>
        </w:rPr>
      </w:pPr>
      <w:r w:rsidRPr="0048178A">
        <w:rPr>
          <w:rFonts w:ascii="Arial" w:hAnsi="Arial" w:cs="Arial"/>
          <w:sz w:val="22"/>
          <w:szCs w:val="22"/>
        </w:rPr>
        <w:t xml:space="preserve">Il est traité par </w:t>
      </w:r>
      <w:proofErr w:type="spellStart"/>
      <w:r w:rsidRPr="0048178A">
        <w:rPr>
          <w:rFonts w:ascii="Arial" w:hAnsi="Arial" w:cs="Arial"/>
          <w:sz w:val="22"/>
          <w:szCs w:val="22"/>
        </w:rPr>
        <w:t>anti-vitamines</w:t>
      </w:r>
      <w:proofErr w:type="spellEnd"/>
      <w:r w:rsidRPr="0048178A">
        <w:rPr>
          <w:rFonts w:ascii="Arial" w:hAnsi="Arial" w:cs="Arial"/>
          <w:sz w:val="22"/>
          <w:szCs w:val="22"/>
        </w:rPr>
        <w:t xml:space="preserve"> K.</w:t>
      </w:r>
    </w:p>
    <w:p w14:paraId="12B2B21A" w14:textId="77777777" w:rsidR="0048178A" w:rsidRDefault="0048178A" w:rsidP="0048178A">
      <w:pPr>
        <w:pStyle w:val="NormalWeb"/>
        <w:spacing w:before="0" w:beforeAutospacing="0" w:after="0" w:afterAutospacing="0"/>
        <w:rPr>
          <w:rFonts w:ascii="Arial" w:hAnsi="Arial" w:cs="Arial"/>
          <w:sz w:val="22"/>
          <w:szCs w:val="22"/>
        </w:rPr>
      </w:pPr>
    </w:p>
    <w:p w14:paraId="1B0428CC" w14:textId="786696C3" w:rsidR="00B258BC" w:rsidRPr="0048178A" w:rsidRDefault="00B258BC" w:rsidP="0048178A">
      <w:pPr>
        <w:pStyle w:val="NormalWeb"/>
        <w:spacing w:before="0" w:beforeAutospacing="0" w:after="0" w:afterAutospacing="0"/>
        <w:rPr>
          <w:rFonts w:ascii="Arial" w:hAnsi="Arial" w:cs="Arial"/>
          <w:sz w:val="22"/>
          <w:szCs w:val="22"/>
        </w:rPr>
      </w:pPr>
      <w:r w:rsidRPr="0048178A">
        <w:rPr>
          <w:rFonts w:ascii="Arial" w:hAnsi="Arial" w:cs="Arial"/>
          <w:sz w:val="22"/>
          <w:szCs w:val="22"/>
        </w:rPr>
        <w:t>Il est demandeur d’une réhabilitation implantaire pour la dent 36, qui a dû être extraite l’an dernier en raison d’une fracture radiculaire.</w:t>
      </w:r>
    </w:p>
    <w:p w14:paraId="099DE591" w14:textId="77777777" w:rsidR="00B258BC" w:rsidRPr="0048178A" w:rsidRDefault="00B258BC" w:rsidP="0048178A">
      <w:pPr>
        <w:pStyle w:val="NormalWeb"/>
        <w:spacing w:before="0" w:beforeAutospacing="0" w:after="0" w:afterAutospacing="0"/>
        <w:rPr>
          <w:rFonts w:ascii="Arial" w:hAnsi="Arial" w:cs="Arial"/>
        </w:rPr>
      </w:pPr>
    </w:p>
    <w:p w14:paraId="097C9BC9" w14:textId="77777777" w:rsidR="00B258BC" w:rsidRPr="0048178A" w:rsidRDefault="00B258BC" w:rsidP="0048178A">
      <w:pPr>
        <w:spacing w:after="0" w:line="240" w:lineRule="auto"/>
        <w:outlineLvl w:val="2"/>
        <w:rPr>
          <w:rFonts w:ascii="Arial" w:eastAsia="Times New Roman" w:hAnsi="Arial" w:cs="Arial"/>
          <w:b/>
          <w:bCs/>
          <w:color w:val="4472C4" w:themeColor="accent1"/>
          <w:kern w:val="0"/>
          <w:sz w:val="24"/>
          <w:szCs w:val="24"/>
          <w:u w:val="single"/>
          <w:lang w:eastAsia="fr-FR"/>
          <w14:ligatures w14:val="none"/>
        </w:rPr>
      </w:pPr>
      <w:r w:rsidRPr="0048178A">
        <w:rPr>
          <w:rFonts w:ascii="Arial" w:eastAsia="Times New Roman" w:hAnsi="Arial" w:cs="Arial"/>
          <w:b/>
          <w:bCs/>
          <w:color w:val="4472C4" w:themeColor="accent1"/>
          <w:kern w:val="0"/>
          <w:sz w:val="24"/>
          <w:szCs w:val="24"/>
          <w:u w:val="single"/>
          <w:lang w:eastAsia="fr-FR"/>
          <w14:ligatures w14:val="none"/>
        </w:rPr>
        <w:t>Question 1</w:t>
      </w:r>
      <w:r w:rsidRPr="0048178A">
        <w:rPr>
          <w:rFonts w:ascii="Arial" w:eastAsia="Times New Roman" w:hAnsi="Arial" w:cs="Arial"/>
          <w:b/>
          <w:bCs/>
          <w:color w:val="4472C4" w:themeColor="accent1"/>
          <w:kern w:val="0"/>
          <w:sz w:val="24"/>
          <w:szCs w:val="24"/>
          <w:lang w:eastAsia="fr-FR"/>
          <w14:ligatures w14:val="none"/>
        </w:rPr>
        <w:t> : Quelles sont les propositions exactes ?</w:t>
      </w:r>
    </w:p>
    <w:p w14:paraId="0C7112AA" w14:textId="77777777" w:rsidR="00B258BC" w:rsidRPr="0048178A" w:rsidRDefault="00B258BC" w:rsidP="0048178A">
      <w:pPr>
        <w:spacing w:after="0" w:line="240" w:lineRule="auto"/>
        <w:outlineLvl w:val="5"/>
        <w:rPr>
          <w:rFonts w:ascii="Arial" w:eastAsia="Times New Roman" w:hAnsi="Arial" w:cs="Arial"/>
          <w:b/>
          <w:bCs/>
          <w:color w:val="EE0000"/>
          <w:kern w:val="0"/>
          <w:sz w:val="20"/>
          <w:szCs w:val="20"/>
          <w:lang w:eastAsia="fr-FR"/>
          <w14:ligatures w14:val="none"/>
        </w:rPr>
      </w:pPr>
      <w:r w:rsidRPr="0048178A">
        <w:rPr>
          <w:rFonts w:ascii="Arial" w:eastAsia="Times New Roman" w:hAnsi="Arial" w:cs="Arial"/>
          <w:b/>
          <w:bCs/>
          <w:i/>
          <w:iCs/>
          <w:kern w:val="0"/>
          <w:sz w:val="20"/>
          <w:szCs w:val="20"/>
          <w:lang w:eastAsia="fr-FR"/>
          <w14:ligatures w14:val="none"/>
        </w:rPr>
        <w:t>(Plusieurs réponses possibles)</w:t>
      </w:r>
    </w:p>
    <w:p w14:paraId="68E5B06A" w14:textId="729FC189" w:rsidR="00B258BC" w:rsidRPr="0048178A" w:rsidRDefault="00B258BC" w:rsidP="0048178A">
      <w:pPr>
        <w:pStyle w:val="Paragraphedeliste"/>
        <w:numPr>
          <w:ilvl w:val="0"/>
          <w:numId w:val="3"/>
        </w:numPr>
        <w:spacing w:after="0" w:line="240" w:lineRule="auto"/>
        <w:rPr>
          <w:rFonts w:ascii="Arial" w:eastAsia="Times New Roman" w:hAnsi="Arial" w:cs="Arial"/>
          <w:b/>
          <w:bCs/>
          <w:color w:val="EE0000"/>
          <w:kern w:val="0"/>
          <w:lang w:eastAsia="fr-FR"/>
          <w14:ligatures w14:val="none"/>
        </w:rPr>
      </w:pPr>
      <w:r w:rsidRPr="0048178A">
        <w:rPr>
          <w:rFonts w:ascii="Arial" w:eastAsia="Times New Roman" w:hAnsi="Arial" w:cs="Arial"/>
          <w:b/>
          <w:bCs/>
          <w:color w:val="EE0000"/>
          <w:kern w:val="0"/>
          <w:lang w:eastAsia="fr-FR"/>
          <w14:ligatures w14:val="none"/>
        </w:rPr>
        <w:t xml:space="preserve">Le patient est à haut risque d’endocardite infectieuse (EI) </w:t>
      </w:r>
    </w:p>
    <w:p w14:paraId="4EADB63D" w14:textId="7B276B79" w:rsidR="00B258BC" w:rsidRPr="0048178A" w:rsidRDefault="00B258BC" w:rsidP="0048178A">
      <w:pPr>
        <w:pStyle w:val="Paragraphedeliste"/>
        <w:numPr>
          <w:ilvl w:val="0"/>
          <w:numId w:val="3"/>
        </w:numPr>
        <w:spacing w:after="0" w:line="240" w:lineRule="auto"/>
        <w:rPr>
          <w:rFonts w:ascii="Arial" w:eastAsia="Times New Roman" w:hAnsi="Arial" w:cs="Arial"/>
          <w:kern w:val="0"/>
          <w:lang w:eastAsia="fr-FR"/>
          <w14:ligatures w14:val="none"/>
        </w:rPr>
      </w:pPr>
      <w:r w:rsidRPr="0048178A">
        <w:rPr>
          <w:rFonts w:ascii="Arial" w:eastAsia="Times New Roman" w:hAnsi="Arial" w:cs="Arial"/>
          <w:kern w:val="0"/>
          <w:lang w:eastAsia="fr-FR"/>
          <w14:ligatures w14:val="none"/>
        </w:rPr>
        <w:t xml:space="preserve">Le patient est à risque intermédiaire d’endocardite infectieuse </w:t>
      </w:r>
    </w:p>
    <w:p w14:paraId="793512EE" w14:textId="1CE78F49" w:rsidR="00B258BC" w:rsidRPr="0048178A" w:rsidRDefault="00B258BC" w:rsidP="0048178A">
      <w:pPr>
        <w:pStyle w:val="Paragraphedeliste"/>
        <w:numPr>
          <w:ilvl w:val="0"/>
          <w:numId w:val="3"/>
        </w:numPr>
        <w:spacing w:after="0" w:line="240" w:lineRule="auto"/>
        <w:rPr>
          <w:rFonts w:ascii="Arial" w:eastAsia="Times New Roman" w:hAnsi="Arial" w:cs="Arial"/>
          <w:b/>
          <w:bCs/>
          <w:color w:val="FF0000"/>
          <w:kern w:val="0"/>
          <w:lang w:eastAsia="fr-FR"/>
          <w14:ligatures w14:val="none"/>
        </w:rPr>
      </w:pPr>
      <w:r w:rsidRPr="0048178A">
        <w:rPr>
          <w:rFonts w:ascii="Arial" w:eastAsia="Times New Roman" w:hAnsi="Arial" w:cs="Arial"/>
          <w:b/>
          <w:bCs/>
          <w:color w:val="FF0000"/>
          <w:kern w:val="0"/>
          <w:lang w:eastAsia="fr-FR"/>
          <w14:ligatures w14:val="none"/>
        </w:rPr>
        <w:t xml:space="preserve">Le patient doit avoir </w:t>
      </w:r>
      <w:proofErr w:type="gramStart"/>
      <w:r w:rsidRPr="0048178A">
        <w:rPr>
          <w:rFonts w:ascii="Arial" w:eastAsia="Times New Roman" w:hAnsi="Arial" w:cs="Arial"/>
          <w:b/>
          <w:bCs/>
          <w:color w:val="FF0000"/>
          <w:kern w:val="0"/>
          <w:lang w:eastAsia="fr-FR"/>
          <w14:ligatures w14:val="none"/>
        </w:rPr>
        <w:t>un INR récent</w:t>
      </w:r>
      <w:proofErr w:type="gramEnd"/>
      <w:r w:rsidRPr="0048178A">
        <w:rPr>
          <w:rFonts w:ascii="Arial" w:eastAsia="Times New Roman" w:hAnsi="Arial" w:cs="Arial"/>
          <w:b/>
          <w:bCs/>
          <w:color w:val="FF0000"/>
          <w:kern w:val="0"/>
          <w:lang w:eastAsia="fr-FR"/>
          <w14:ligatures w14:val="none"/>
        </w:rPr>
        <w:t xml:space="preserve"> (inférieur à 24h) et inférieur à 4 pour tout acte bucco-dentaire chirurgical </w:t>
      </w:r>
    </w:p>
    <w:p w14:paraId="04242D53" w14:textId="6065D10E" w:rsidR="00B258BC" w:rsidRPr="0048178A" w:rsidRDefault="00B258BC" w:rsidP="0048178A">
      <w:pPr>
        <w:pStyle w:val="Paragraphedeliste"/>
        <w:numPr>
          <w:ilvl w:val="0"/>
          <w:numId w:val="3"/>
        </w:numPr>
        <w:spacing w:after="0" w:line="240" w:lineRule="auto"/>
        <w:rPr>
          <w:rFonts w:ascii="Arial" w:eastAsia="Times New Roman" w:hAnsi="Arial" w:cs="Arial"/>
          <w:kern w:val="0"/>
          <w:lang w:eastAsia="fr-FR"/>
          <w14:ligatures w14:val="none"/>
        </w:rPr>
      </w:pPr>
      <w:r w:rsidRPr="0048178A">
        <w:rPr>
          <w:rFonts w:ascii="Arial" w:eastAsia="Times New Roman" w:hAnsi="Arial" w:cs="Arial"/>
          <w:kern w:val="0"/>
          <w:lang w:eastAsia="fr-FR"/>
          <w14:ligatures w14:val="none"/>
        </w:rPr>
        <w:t>Le patient doit être considéré comme un patient de la population générale concernant sa prise en charge bucco-dentaire</w:t>
      </w:r>
    </w:p>
    <w:p w14:paraId="4AD231F8" w14:textId="77777777" w:rsidR="0048178A" w:rsidRDefault="0048178A" w:rsidP="0048178A">
      <w:pPr>
        <w:spacing w:after="0" w:line="240" w:lineRule="auto"/>
        <w:rPr>
          <w:rFonts w:ascii="Arial" w:eastAsia="Times New Roman" w:hAnsi="Arial" w:cs="Arial"/>
          <w:kern w:val="0"/>
          <w:lang w:eastAsia="fr-FR"/>
          <w14:ligatures w14:val="none"/>
        </w:rPr>
      </w:pPr>
    </w:p>
    <w:p w14:paraId="573AA4A6" w14:textId="32D259F7" w:rsidR="00B258BC" w:rsidRPr="0048178A" w:rsidRDefault="00B258BC" w:rsidP="0048178A">
      <w:pPr>
        <w:spacing w:after="0" w:line="240" w:lineRule="auto"/>
        <w:rPr>
          <w:rFonts w:ascii="Arial" w:eastAsia="Times New Roman" w:hAnsi="Arial" w:cs="Arial"/>
          <w:kern w:val="0"/>
          <w:lang w:eastAsia="fr-FR"/>
          <w14:ligatures w14:val="none"/>
        </w:rPr>
      </w:pPr>
      <w:r w:rsidRPr="0048178A">
        <w:rPr>
          <w:rFonts w:ascii="Arial" w:eastAsia="Times New Roman" w:hAnsi="Arial" w:cs="Arial"/>
          <w:kern w:val="0"/>
          <w:lang w:eastAsia="fr-FR"/>
          <w14:ligatures w14:val="none"/>
        </w:rPr>
        <w:t>Ayant une valve prothétique, le patient est à haut risque d’EI. Il en est de même pour les patients ayant un antécédent d’EI, les patients ayant une cardiopathie congénitale cyanogène non opérée ou avec un shunt résiduel, et les patients porteurs d’une pompe d’assistance ventriculaire.</w:t>
      </w:r>
    </w:p>
    <w:p w14:paraId="66EEBC61" w14:textId="77777777" w:rsidR="0048178A" w:rsidRDefault="0048178A" w:rsidP="0048178A">
      <w:pPr>
        <w:spacing w:after="0" w:line="240" w:lineRule="auto"/>
        <w:rPr>
          <w:rFonts w:ascii="Arial" w:eastAsia="Times New Roman" w:hAnsi="Arial" w:cs="Arial"/>
          <w:color w:val="EE0000"/>
          <w:kern w:val="0"/>
          <w:lang w:eastAsia="fr-FR"/>
          <w14:ligatures w14:val="none"/>
        </w:rPr>
      </w:pPr>
    </w:p>
    <w:p w14:paraId="7FCB5E66" w14:textId="7CD3DDBE" w:rsidR="00B258BC" w:rsidRPr="0048178A" w:rsidRDefault="00B258BC" w:rsidP="0048178A">
      <w:pPr>
        <w:spacing w:after="0" w:line="240" w:lineRule="auto"/>
        <w:rPr>
          <w:rFonts w:ascii="Arial" w:eastAsia="Times New Roman" w:hAnsi="Arial" w:cs="Arial"/>
          <w:color w:val="EE0000"/>
          <w:kern w:val="0"/>
          <w:lang w:eastAsia="fr-FR"/>
          <w14:ligatures w14:val="none"/>
        </w:rPr>
      </w:pPr>
      <w:r w:rsidRPr="0048178A">
        <w:rPr>
          <w:rFonts w:ascii="Arial" w:eastAsia="Times New Roman" w:hAnsi="Arial" w:cs="Arial"/>
          <w:color w:val="EE0000"/>
          <w:kern w:val="0"/>
          <w:lang w:eastAsia="fr-FR"/>
          <w14:ligatures w14:val="none"/>
        </w:rPr>
        <w:t>Les patients à haut risque d’EI ne sont pas immunodéprimés mais doivent bénéficier d’une attention toute particulière lors des soins dentaires : tout acte engendrant une bactériémie doit être réalisé sous antibioprophylaxie.</w:t>
      </w:r>
    </w:p>
    <w:p w14:paraId="718D0B64" w14:textId="55775A78" w:rsidR="00B258BC" w:rsidRPr="0048178A" w:rsidRDefault="00000000" w:rsidP="0048178A">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pict w14:anchorId="443F9B6E">
          <v:rect id="_x0000_i1025" style="width:0;height:1.5pt" o:hralign="center" o:hrstd="t" o:hr="t" fillcolor="#a0a0a0" stroked="f"/>
        </w:pict>
      </w:r>
    </w:p>
    <w:p w14:paraId="65BD8E83" w14:textId="77777777" w:rsidR="00B258BC" w:rsidRPr="0048178A" w:rsidRDefault="00B258BC" w:rsidP="0048178A">
      <w:pPr>
        <w:spacing w:after="0" w:line="240" w:lineRule="auto"/>
        <w:outlineLvl w:val="2"/>
        <w:rPr>
          <w:rFonts w:ascii="Arial" w:eastAsia="Times New Roman" w:hAnsi="Arial" w:cs="Arial"/>
          <w:b/>
          <w:bCs/>
          <w:kern w:val="0"/>
          <w:sz w:val="27"/>
          <w:szCs w:val="27"/>
          <w:u w:val="single"/>
          <w:lang w:eastAsia="fr-FR"/>
          <w14:ligatures w14:val="none"/>
        </w:rPr>
      </w:pPr>
    </w:p>
    <w:p w14:paraId="3707BEF0" w14:textId="6FBDC6E7" w:rsidR="00B258BC" w:rsidRPr="0048178A" w:rsidRDefault="00B258BC" w:rsidP="0048178A">
      <w:pPr>
        <w:spacing w:after="0" w:line="240" w:lineRule="auto"/>
        <w:outlineLvl w:val="2"/>
        <w:rPr>
          <w:rFonts w:ascii="Arial" w:eastAsia="Times New Roman" w:hAnsi="Arial" w:cs="Arial"/>
          <w:b/>
          <w:bCs/>
          <w:color w:val="4472C4" w:themeColor="accent1"/>
          <w:kern w:val="0"/>
          <w:sz w:val="24"/>
          <w:szCs w:val="24"/>
          <w:lang w:eastAsia="fr-FR"/>
          <w14:ligatures w14:val="none"/>
        </w:rPr>
      </w:pPr>
      <w:r w:rsidRPr="0048178A">
        <w:rPr>
          <w:rFonts w:ascii="Arial" w:eastAsia="Times New Roman" w:hAnsi="Arial" w:cs="Arial"/>
          <w:b/>
          <w:bCs/>
          <w:color w:val="4472C4" w:themeColor="accent1"/>
          <w:kern w:val="0"/>
          <w:sz w:val="24"/>
          <w:szCs w:val="24"/>
          <w:u w:val="single"/>
          <w:lang w:eastAsia="fr-FR"/>
          <w14:ligatures w14:val="none"/>
        </w:rPr>
        <w:t>Question 2</w:t>
      </w:r>
      <w:r w:rsidRPr="0048178A">
        <w:rPr>
          <w:rFonts w:ascii="Arial" w:eastAsia="Times New Roman" w:hAnsi="Arial" w:cs="Arial"/>
          <w:b/>
          <w:bCs/>
          <w:color w:val="4472C4" w:themeColor="accent1"/>
          <w:kern w:val="0"/>
          <w:sz w:val="24"/>
          <w:szCs w:val="24"/>
          <w:lang w:eastAsia="fr-FR"/>
          <w14:ligatures w14:val="none"/>
        </w:rPr>
        <w:t> : Quelles sont les propositions exactes ?</w:t>
      </w:r>
    </w:p>
    <w:p w14:paraId="3F34C8F1" w14:textId="77777777" w:rsidR="00B258BC" w:rsidRPr="0048178A" w:rsidRDefault="00B258BC" w:rsidP="0048178A">
      <w:pPr>
        <w:spacing w:after="0" w:line="240" w:lineRule="auto"/>
        <w:outlineLvl w:val="5"/>
        <w:rPr>
          <w:rFonts w:ascii="Arial" w:eastAsia="Times New Roman" w:hAnsi="Arial" w:cs="Arial"/>
          <w:b/>
          <w:bCs/>
          <w:i/>
          <w:iCs/>
          <w:kern w:val="0"/>
          <w:sz w:val="20"/>
          <w:szCs w:val="20"/>
          <w:lang w:eastAsia="fr-FR"/>
          <w14:ligatures w14:val="none"/>
        </w:rPr>
      </w:pPr>
      <w:r w:rsidRPr="0048178A">
        <w:rPr>
          <w:rFonts w:ascii="Arial" w:eastAsia="Times New Roman" w:hAnsi="Arial" w:cs="Arial"/>
          <w:b/>
          <w:bCs/>
          <w:i/>
          <w:iCs/>
          <w:kern w:val="0"/>
          <w:sz w:val="20"/>
          <w:szCs w:val="20"/>
          <w:lang w:eastAsia="fr-FR"/>
          <w14:ligatures w14:val="none"/>
        </w:rPr>
        <w:t>(Plusieurs réponses possibles)</w:t>
      </w:r>
    </w:p>
    <w:p w14:paraId="670D9187" w14:textId="1F28D6C5" w:rsidR="00B258BC" w:rsidRPr="0048178A" w:rsidRDefault="00B258BC" w:rsidP="0048178A">
      <w:pPr>
        <w:pStyle w:val="Paragraphedeliste"/>
        <w:numPr>
          <w:ilvl w:val="0"/>
          <w:numId w:val="4"/>
        </w:numPr>
        <w:spacing w:after="0" w:line="240" w:lineRule="auto"/>
        <w:rPr>
          <w:rFonts w:ascii="Arial" w:eastAsia="Times New Roman" w:hAnsi="Arial" w:cs="Arial"/>
          <w:kern w:val="0"/>
          <w:lang w:eastAsia="fr-FR"/>
          <w14:ligatures w14:val="none"/>
        </w:rPr>
      </w:pPr>
      <w:r w:rsidRPr="0048178A">
        <w:rPr>
          <w:rFonts w:ascii="Arial" w:eastAsia="Times New Roman" w:hAnsi="Arial" w:cs="Arial"/>
          <w:kern w:val="0"/>
          <w:lang w:eastAsia="fr-FR"/>
          <w14:ligatures w14:val="none"/>
        </w:rPr>
        <w:t xml:space="preserve">Le patient ne peut bénéficier d’une réhabilitation implantaire en raison de son risque d’EI </w:t>
      </w:r>
    </w:p>
    <w:p w14:paraId="0E94C8EE" w14:textId="54BBB8BF" w:rsidR="00B258BC" w:rsidRPr="0048178A" w:rsidRDefault="00B258BC" w:rsidP="0048178A">
      <w:pPr>
        <w:pStyle w:val="Paragraphedeliste"/>
        <w:numPr>
          <w:ilvl w:val="0"/>
          <w:numId w:val="4"/>
        </w:numPr>
        <w:spacing w:after="0" w:line="240" w:lineRule="auto"/>
        <w:rPr>
          <w:rFonts w:ascii="Arial" w:eastAsia="Times New Roman" w:hAnsi="Arial" w:cs="Arial"/>
          <w:b/>
          <w:bCs/>
          <w:color w:val="FF0000"/>
          <w:kern w:val="0"/>
          <w:lang w:eastAsia="fr-FR"/>
          <w14:ligatures w14:val="none"/>
        </w:rPr>
      </w:pPr>
      <w:r w:rsidRPr="0048178A">
        <w:rPr>
          <w:rFonts w:ascii="Arial" w:eastAsia="Times New Roman" w:hAnsi="Arial" w:cs="Arial"/>
          <w:b/>
          <w:bCs/>
          <w:color w:val="FF0000"/>
          <w:kern w:val="0"/>
          <w:lang w:eastAsia="fr-FR"/>
          <w14:ligatures w14:val="none"/>
        </w:rPr>
        <w:t xml:space="preserve">La pose d’implants est autorisée chez ce patient, à condition de ne pas utiliser de membrane de régénération osseuse </w:t>
      </w:r>
    </w:p>
    <w:p w14:paraId="7CED009D" w14:textId="6F73457C" w:rsidR="00B258BC" w:rsidRPr="0048178A" w:rsidRDefault="00B258BC" w:rsidP="0048178A">
      <w:pPr>
        <w:pStyle w:val="Paragraphedeliste"/>
        <w:numPr>
          <w:ilvl w:val="0"/>
          <w:numId w:val="4"/>
        </w:numPr>
        <w:spacing w:after="0" w:line="240" w:lineRule="auto"/>
        <w:rPr>
          <w:rFonts w:ascii="Arial" w:eastAsia="Times New Roman" w:hAnsi="Arial" w:cs="Arial"/>
          <w:b/>
          <w:bCs/>
          <w:color w:val="FF0000"/>
          <w:kern w:val="0"/>
          <w:lang w:eastAsia="fr-FR"/>
          <w14:ligatures w14:val="none"/>
        </w:rPr>
      </w:pPr>
      <w:r w:rsidRPr="0048178A">
        <w:rPr>
          <w:rFonts w:ascii="Arial" w:eastAsia="Times New Roman" w:hAnsi="Arial" w:cs="Arial"/>
          <w:b/>
          <w:bCs/>
          <w:color w:val="FF0000"/>
          <w:kern w:val="0"/>
          <w:lang w:eastAsia="fr-FR"/>
          <w14:ligatures w14:val="none"/>
        </w:rPr>
        <w:t xml:space="preserve">La pose d’implant est autorisée chez ce patient, à condition de lui prescrire une antibioprophylaxie préalable au geste </w:t>
      </w:r>
    </w:p>
    <w:p w14:paraId="2B3D830B" w14:textId="00213EB3" w:rsidR="00B258BC" w:rsidRPr="0048178A" w:rsidRDefault="00B258BC" w:rsidP="0048178A">
      <w:pPr>
        <w:pStyle w:val="Paragraphedeliste"/>
        <w:numPr>
          <w:ilvl w:val="0"/>
          <w:numId w:val="4"/>
        </w:numPr>
        <w:spacing w:after="0" w:line="240" w:lineRule="auto"/>
        <w:rPr>
          <w:rFonts w:ascii="Arial" w:eastAsia="Times New Roman" w:hAnsi="Arial" w:cs="Arial"/>
          <w:kern w:val="0"/>
          <w:lang w:eastAsia="fr-FR"/>
          <w14:ligatures w14:val="none"/>
        </w:rPr>
      </w:pPr>
      <w:r w:rsidRPr="0048178A">
        <w:rPr>
          <w:rFonts w:ascii="Arial" w:eastAsia="Times New Roman" w:hAnsi="Arial" w:cs="Arial"/>
          <w:kern w:val="0"/>
          <w:lang w:eastAsia="fr-FR"/>
          <w14:ligatures w14:val="none"/>
        </w:rPr>
        <w:t>Seule la pose d’implants unitaires est autorisée chez ce patient</w:t>
      </w:r>
    </w:p>
    <w:p w14:paraId="47E04AFC" w14:textId="77777777" w:rsidR="0048178A" w:rsidRPr="0048178A" w:rsidRDefault="0048178A" w:rsidP="0048178A">
      <w:pPr>
        <w:spacing w:after="0" w:line="240" w:lineRule="auto"/>
        <w:rPr>
          <w:rFonts w:ascii="Arial" w:eastAsia="Times New Roman" w:hAnsi="Arial" w:cs="Arial"/>
          <w:color w:val="EE0000"/>
          <w:kern w:val="0"/>
          <w:lang w:eastAsia="fr-FR"/>
          <w14:ligatures w14:val="none"/>
        </w:rPr>
      </w:pPr>
    </w:p>
    <w:p w14:paraId="270AB212" w14:textId="138747F5" w:rsidR="00B258BC" w:rsidRPr="0048178A" w:rsidRDefault="00B258BC" w:rsidP="0048178A">
      <w:pPr>
        <w:spacing w:after="0" w:line="240" w:lineRule="auto"/>
        <w:rPr>
          <w:rFonts w:ascii="Arial" w:eastAsia="Times New Roman" w:hAnsi="Arial" w:cs="Arial"/>
          <w:kern w:val="0"/>
          <w:lang w:eastAsia="fr-FR"/>
          <w14:ligatures w14:val="none"/>
        </w:rPr>
      </w:pPr>
      <w:r w:rsidRPr="0048178A">
        <w:rPr>
          <w:rFonts w:ascii="Arial" w:eastAsia="Times New Roman" w:hAnsi="Arial" w:cs="Arial"/>
          <w:color w:val="EE0000"/>
          <w:kern w:val="0"/>
          <w:lang w:eastAsia="fr-FR"/>
          <w14:ligatures w14:val="none"/>
        </w:rPr>
        <w:t xml:space="preserve">La pose d’implants est autorisée chez les patients à haut risque d’EI </w:t>
      </w:r>
      <w:r w:rsidRPr="0048178A">
        <w:rPr>
          <w:rFonts w:ascii="Arial" w:eastAsia="Times New Roman" w:hAnsi="Arial" w:cs="Arial"/>
          <w:kern w:val="0"/>
          <w:lang w:eastAsia="fr-FR"/>
          <w14:ligatures w14:val="none"/>
        </w:rPr>
        <w:t>depuis les recommandations HAS 2024. Le nombre d’implants n’entre pas en compte dans la décision thérapeutique. L’intervention doit être réalisée sous antibioprophylaxie, dans des conditions d’asepsie optimales, et sans utilisation de membrane de régénération osseuse. L’hygiène bucco-dentaire du patient doit être très bonne et il doit bénéficier de séances d’éducation thérapeutique pour maintenir une bonne hygiène.</w:t>
      </w:r>
    </w:p>
    <w:p w14:paraId="605E1290" w14:textId="77777777" w:rsidR="00B258BC" w:rsidRPr="0048178A" w:rsidRDefault="00000000" w:rsidP="0048178A">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pict w14:anchorId="1B019701">
          <v:rect id="_x0000_i1026" style="width:0;height:1.5pt" o:hralign="center" o:hrstd="t" o:hr="t" fillcolor="#a0a0a0" stroked="f"/>
        </w:pict>
      </w:r>
    </w:p>
    <w:p w14:paraId="696D9882" w14:textId="77777777" w:rsidR="00B258BC" w:rsidRPr="0048178A" w:rsidRDefault="00B258BC" w:rsidP="0048178A">
      <w:pPr>
        <w:spacing w:after="0" w:line="240" w:lineRule="auto"/>
        <w:rPr>
          <w:rFonts w:ascii="Arial" w:eastAsia="Times New Roman" w:hAnsi="Arial" w:cs="Arial"/>
          <w:vanish/>
          <w:kern w:val="0"/>
          <w:sz w:val="24"/>
          <w:szCs w:val="24"/>
          <w:lang w:eastAsia="fr-FR"/>
          <w14:ligatures w14:val="none"/>
        </w:rPr>
      </w:pPr>
      <w:r w:rsidRPr="0048178A">
        <w:rPr>
          <w:rFonts w:ascii="Arial" w:eastAsia="Times New Roman" w:hAnsi="Arial" w:cs="Arial"/>
          <w:vanish/>
          <w:kern w:val="0"/>
          <w:sz w:val="24"/>
          <w:szCs w:val="24"/>
          <w:lang w:eastAsia="fr-FR"/>
          <w14:ligatures w14:val="none"/>
        </w:rPr>
        <w:t>3 / 3</w:t>
      </w:r>
    </w:p>
    <w:p w14:paraId="71D90825" w14:textId="77777777" w:rsidR="00B258BC" w:rsidRPr="0048178A" w:rsidRDefault="00B258BC" w:rsidP="0048178A">
      <w:pPr>
        <w:pStyle w:val="NormalWeb"/>
        <w:spacing w:before="0" w:beforeAutospacing="0" w:after="0" w:afterAutospacing="0"/>
        <w:rPr>
          <w:rFonts w:ascii="Arial" w:hAnsi="Arial" w:cs="Arial"/>
        </w:rPr>
      </w:pPr>
    </w:p>
    <w:p w14:paraId="61991086" w14:textId="77777777" w:rsidR="0048178A" w:rsidRDefault="0048178A">
      <w:pPr>
        <w:rPr>
          <w:rFonts w:ascii="Arial" w:eastAsia="Times New Roman" w:hAnsi="Arial" w:cs="Arial"/>
          <w:b/>
          <w:bCs/>
          <w:color w:val="4472C4" w:themeColor="accent1"/>
          <w:kern w:val="0"/>
          <w:sz w:val="24"/>
          <w:szCs w:val="24"/>
          <w:u w:val="single"/>
          <w:lang w:eastAsia="fr-FR"/>
          <w14:ligatures w14:val="none"/>
        </w:rPr>
      </w:pPr>
      <w:r>
        <w:rPr>
          <w:rFonts w:ascii="Arial" w:eastAsia="Times New Roman" w:hAnsi="Arial" w:cs="Arial"/>
          <w:b/>
          <w:bCs/>
          <w:color w:val="4472C4" w:themeColor="accent1"/>
          <w:kern w:val="0"/>
          <w:sz w:val="24"/>
          <w:szCs w:val="24"/>
          <w:u w:val="single"/>
          <w:lang w:eastAsia="fr-FR"/>
          <w14:ligatures w14:val="none"/>
        </w:rPr>
        <w:br w:type="page"/>
      </w:r>
    </w:p>
    <w:p w14:paraId="2E1A7AC3" w14:textId="577FEC4C" w:rsidR="00B258BC" w:rsidRPr="0048178A" w:rsidRDefault="00B258BC" w:rsidP="0048178A">
      <w:pPr>
        <w:spacing w:after="0" w:line="240" w:lineRule="auto"/>
        <w:outlineLvl w:val="2"/>
        <w:rPr>
          <w:rFonts w:ascii="Arial" w:eastAsia="Times New Roman" w:hAnsi="Arial" w:cs="Arial"/>
          <w:b/>
          <w:bCs/>
          <w:color w:val="4472C4" w:themeColor="accent1"/>
          <w:kern w:val="0"/>
          <w:sz w:val="24"/>
          <w:szCs w:val="24"/>
          <w:u w:val="single"/>
          <w:lang w:eastAsia="fr-FR"/>
          <w14:ligatures w14:val="none"/>
        </w:rPr>
      </w:pPr>
      <w:r w:rsidRPr="0048178A">
        <w:rPr>
          <w:rFonts w:ascii="Arial" w:eastAsia="Times New Roman" w:hAnsi="Arial" w:cs="Arial"/>
          <w:b/>
          <w:bCs/>
          <w:color w:val="4472C4" w:themeColor="accent1"/>
          <w:kern w:val="0"/>
          <w:sz w:val="24"/>
          <w:szCs w:val="24"/>
          <w:u w:val="single"/>
          <w:lang w:eastAsia="fr-FR"/>
          <w14:ligatures w14:val="none"/>
        </w:rPr>
        <w:lastRenderedPageBreak/>
        <w:t>Question 3 :  Quelles sont les propositions exactes ?</w:t>
      </w:r>
    </w:p>
    <w:p w14:paraId="48E4667A" w14:textId="77777777" w:rsidR="00B258BC" w:rsidRPr="0048178A" w:rsidRDefault="00B258BC" w:rsidP="0048178A">
      <w:pPr>
        <w:spacing w:after="0" w:line="240" w:lineRule="auto"/>
        <w:outlineLvl w:val="5"/>
        <w:rPr>
          <w:rFonts w:ascii="Arial" w:eastAsia="Times New Roman" w:hAnsi="Arial" w:cs="Arial"/>
          <w:b/>
          <w:bCs/>
          <w:i/>
          <w:iCs/>
          <w:kern w:val="0"/>
          <w:sz w:val="20"/>
          <w:szCs w:val="20"/>
          <w:lang w:eastAsia="fr-FR"/>
          <w14:ligatures w14:val="none"/>
        </w:rPr>
      </w:pPr>
      <w:r w:rsidRPr="0048178A">
        <w:rPr>
          <w:rFonts w:ascii="Arial" w:eastAsia="Times New Roman" w:hAnsi="Arial" w:cs="Arial"/>
          <w:b/>
          <w:bCs/>
          <w:i/>
          <w:iCs/>
          <w:kern w:val="0"/>
          <w:sz w:val="20"/>
          <w:szCs w:val="20"/>
          <w:lang w:eastAsia="fr-FR"/>
          <w14:ligatures w14:val="none"/>
        </w:rPr>
        <w:t>(Plusieurs réponses possibles)</w:t>
      </w:r>
    </w:p>
    <w:p w14:paraId="7D3C35C7" w14:textId="51E54665" w:rsidR="00B258BC" w:rsidRPr="0048178A" w:rsidRDefault="00B258BC" w:rsidP="0048178A">
      <w:pPr>
        <w:pStyle w:val="Paragraphedeliste"/>
        <w:numPr>
          <w:ilvl w:val="0"/>
          <w:numId w:val="7"/>
        </w:numPr>
        <w:spacing w:after="0" w:line="240" w:lineRule="auto"/>
        <w:rPr>
          <w:rFonts w:ascii="Arial" w:eastAsia="Times New Roman" w:hAnsi="Arial" w:cs="Arial"/>
          <w:kern w:val="0"/>
          <w:lang w:eastAsia="fr-FR"/>
          <w14:ligatures w14:val="none"/>
        </w:rPr>
      </w:pPr>
      <w:r w:rsidRPr="0048178A">
        <w:rPr>
          <w:rFonts w:ascii="Arial" w:eastAsia="Times New Roman" w:hAnsi="Arial" w:cs="Arial"/>
          <w:kern w:val="0"/>
          <w:lang w:eastAsia="fr-FR"/>
          <w14:ligatures w14:val="none"/>
        </w:rPr>
        <w:t xml:space="preserve">L’antibioprophylaxie doit être administrée le matin du geste et poursuivie 7 jours </w:t>
      </w:r>
    </w:p>
    <w:p w14:paraId="09E7FCDF" w14:textId="6AFC0EEA" w:rsidR="00B258BC" w:rsidRPr="0048178A" w:rsidRDefault="00B258BC" w:rsidP="0048178A">
      <w:pPr>
        <w:pStyle w:val="Paragraphedeliste"/>
        <w:numPr>
          <w:ilvl w:val="0"/>
          <w:numId w:val="7"/>
        </w:numPr>
        <w:spacing w:after="0" w:line="240" w:lineRule="auto"/>
        <w:rPr>
          <w:rFonts w:ascii="Arial" w:eastAsia="Times New Roman" w:hAnsi="Arial" w:cs="Arial"/>
          <w:b/>
          <w:bCs/>
          <w:color w:val="FF0000"/>
          <w:kern w:val="0"/>
          <w:lang w:eastAsia="fr-FR"/>
          <w14:ligatures w14:val="none"/>
        </w:rPr>
      </w:pPr>
      <w:r w:rsidRPr="0048178A">
        <w:rPr>
          <w:rFonts w:ascii="Arial" w:eastAsia="Times New Roman" w:hAnsi="Arial" w:cs="Arial"/>
          <w:b/>
          <w:bCs/>
          <w:color w:val="FF0000"/>
          <w:kern w:val="0"/>
          <w:lang w:eastAsia="fr-FR"/>
          <w14:ligatures w14:val="none"/>
        </w:rPr>
        <w:t xml:space="preserve">L’antibioprophylaxie est une dose unique à prendre 1h avant le geste </w:t>
      </w:r>
    </w:p>
    <w:p w14:paraId="23DCA7F1" w14:textId="4671BBD2" w:rsidR="00B258BC" w:rsidRPr="0048178A" w:rsidRDefault="00B258BC" w:rsidP="0048178A">
      <w:pPr>
        <w:pStyle w:val="Paragraphedeliste"/>
        <w:numPr>
          <w:ilvl w:val="0"/>
          <w:numId w:val="7"/>
        </w:numPr>
        <w:spacing w:after="0" w:line="240" w:lineRule="auto"/>
        <w:rPr>
          <w:rFonts w:ascii="Arial" w:eastAsia="Times New Roman" w:hAnsi="Arial" w:cs="Arial"/>
          <w:kern w:val="0"/>
          <w:lang w:eastAsia="fr-FR"/>
          <w14:ligatures w14:val="none"/>
        </w:rPr>
      </w:pPr>
      <w:r w:rsidRPr="0048178A">
        <w:rPr>
          <w:rFonts w:ascii="Arial" w:eastAsia="Times New Roman" w:hAnsi="Arial" w:cs="Arial"/>
          <w:kern w:val="0"/>
          <w:lang w:eastAsia="fr-FR"/>
          <w14:ligatures w14:val="none"/>
        </w:rPr>
        <w:t xml:space="preserve">La molécule recommandée en première intention est l’amoxicilline, à la dose de 3g </w:t>
      </w:r>
    </w:p>
    <w:p w14:paraId="67731319" w14:textId="453E1FC8" w:rsidR="00B258BC" w:rsidRPr="0048178A" w:rsidRDefault="00B258BC" w:rsidP="0048178A">
      <w:pPr>
        <w:pStyle w:val="Paragraphedeliste"/>
        <w:numPr>
          <w:ilvl w:val="0"/>
          <w:numId w:val="7"/>
        </w:numPr>
        <w:spacing w:after="0" w:line="240" w:lineRule="auto"/>
        <w:rPr>
          <w:rFonts w:ascii="Arial" w:eastAsia="Times New Roman" w:hAnsi="Arial" w:cs="Arial"/>
          <w:b/>
          <w:bCs/>
          <w:color w:val="EE0000"/>
          <w:kern w:val="0"/>
          <w:lang w:eastAsia="fr-FR"/>
          <w14:ligatures w14:val="none"/>
        </w:rPr>
      </w:pPr>
      <w:r w:rsidRPr="0048178A">
        <w:rPr>
          <w:rFonts w:ascii="Arial" w:eastAsia="Times New Roman" w:hAnsi="Arial" w:cs="Arial"/>
          <w:b/>
          <w:bCs/>
          <w:color w:val="EE0000"/>
          <w:kern w:val="0"/>
          <w:lang w:eastAsia="fr-FR"/>
          <w14:ligatures w14:val="none"/>
        </w:rPr>
        <w:t>La molécule recommandée en première intention est l’amoxicilline, à la dose de 2g</w:t>
      </w:r>
    </w:p>
    <w:p w14:paraId="6323937A" w14:textId="1178820D" w:rsidR="00B258BC" w:rsidRPr="0048178A" w:rsidRDefault="00B258BC" w:rsidP="0048178A">
      <w:pPr>
        <w:pStyle w:val="Paragraphedeliste"/>
        <w:numPr>
          <w:ilvl w:val="0"/>
          <w:numId w:val="7"/>
        </w:numPr>
        <w:spacing w:after="0" w:line="240" w:lineRule="auto"/>
        <w:rPr>
          <w:rFonts w:ascii="Arial" w:eastAsia="Times New Roman" w:hAnsi="Arial" w:cs="Arial"/>
          <w:b/>
          <w:bCs/>
          <w:color w:val="EE0000"/>
          <w:kern w:val="0"/>
          <w:lang w:eastAsia="fr-FR"/>
          <w14:ligatures w14:val="none"/>
        </w:rPr>
      </w:pPr>
      <w:r w:rsidRPr="0048178A">
        <w:rPr>
          <w:rFonts w:ascii="Arial" w:eastAsia="Times New Roman" w:hAnsi="Arial" w:cs="Arial"/>
          <w:b/>
          <w:bCs/>
          <w:color w:val="EE0000"/>
          <w:kern w:val="0"/>
          <w:lang w:eastAsia="fr-FR"/>
          <w14:ligatures w14:val="none"/>
        </w:rPr>
        <w:t xml:space="preserve">La molécule recommandée en cas d’allergie avérée aux </w:t>
      </w:r>
      <w:proofErr w:type="spellStart"/>
      <w:r w:rsidRPr="0048178A">
        <w:rPr>
          <w:rFonts w:ascii="Arial" w:eastAsia="Times New Roman" w:hAnsi="Arial" w:cs="Arial"/>
          <w:b/>
          <w:bCs/>
          <w:color w:val="EE0000"/>
          <w:kern w:val="0"/>
          <w:lang w:eastAsia="fr-FR"/>
          <w14:ligatures w14:val="none"/>
        </w:rPr>
        <w:t>bêta-lactamines</w:t>
      </w:r>
      <w:proofErr w:type="spellEnd"/>
      <w:r w:rsidRPr="0048178A">
        <w:rPr>
          <w:rFonts w:ascii="Arial" w:eastAsia="Times New Roman" w:hAnsi="Arial" w:cs="Arial"/>
          <w:b/>
          <w:bCs/>
          <w:color w:val="EE0000"/>
          <w:kern w:val="0"/>
          <w:lang w:eastAsia="fr-FR"/>
          <w14:ligatures w14:val="none"/>
        </w:rPr>
        <w:t xml:space="preserve"> est l'azithromycine</w:t>
      </w:r>
    </w:p>
    <w:p w14:paraId="6FEBAECA" w14:textId="77777777" w:rsidR="00B258BC" w:rsidRPr="0048178A" w:rsidRDefault="00B258BC" w:rsidP="0048178A">
      <w:pPr>
        <w:spacing w:after="0" w:line="240" w:lineRule="auto"/>
        <w:rPr>
          <w:rFonts w:ascii="Arial" w:eastAsia="Times New Roman" w:hAnsi="Arial" w:cs="Arial"/>
          <w:kern w:val="0"/>
          <w:sz w:val="24"/>
          <w:szCs w:val="24"/>
          <w:lang w:eastAsia="fr-FR"/>
          <w14:ligatures w14:val="none"/>
        </w:rPr>
      </w:pPr>
    </w:p>
    <w:p w14:paraId="7D71A770" w14:textId="6B1896FC" w:rsidR="00B258BC" w:rsidRPr="0048178A" w:rsidRDefault="00B258BC" w:rsidP="0048178A">
      <w:pPr>
        <w:spacing w:after="0" w:line="240" w:lineRule="auto"/>
        <w:rPr>
          <w:rFonts w:ascii="Arial" w:eastAsia="Times New Roman" w:hAnsi="Arial" w:cs="Arial"/>
          <w:kern w:val="0"/>
          <w:lang w:eastAsia="fr-FR"/>
          <w14:ligatures w14:val="none"/>
        </w:rPr>
      </w:pPr>
      <w:r w:rsidRPr="0048178A">
        <w:rPr>
          <w:rFonts w:ascii="Arial" w:eastAsia="Times New Roman" w:hAnsi="Arial" w:cs="Arial"/>
          <w:color w:val="EE0000"/>
          <w:kern w:val="0"/>
          <w:lang w:eastAsia="fr-FR"/>
          <w14:ligatures w14:val="none"/>
        </w:rPr>
        <w:t xml:space="preserve">L’antibioprophylaxie recommandée en première intention est une dose unique de 2g d’amoxicilline à prendre une heure avant tout geste générant une bactériémie </w:t>
      </w:r>
      <w:r w:rsidRPr="0048178A">
        <w:rPr>
          <w:rFonts w:ascii="Arial" w:eastAsia="Times New Roman" w:hAnsi="Arial" w:cs="Arial"/>
          <w:kern w:val="0"/>
          <w:lang w:eastAsia="fr-FR"/>
          <w14:ligatures w14:val="none"/>
        </w:rPr>
        <w:t xml:space="preserve">(per os ou IV). En cas d’allergie avérée aux </w:t>
      </w:r>
      <w:proofErr w:type="spellStart"/>
      <w:r w:rsidRPr="0048178A">
        <w:rPr>
          <w:rFonts w:ascii="Arial" w:eastAsia="Times New Roman" w:hAnsi="Arial" w:cs="Arial"/>
          <w:kern w:val="0"/>
          <w:lang w:eastAsia="fr-FR"/>
          <w14:ligatures w14:val="none"/>
        </w:rPr>
        <w:t>bêta-lactamines</w:t>
      </w:r>
      <w:proofErr w:type="spellEnd"/>
      <w:r w:rsidRPr="0048178A">
        <w:rPr>
          <w:rFonts w:ascii="Arial" w:eastAsia="Times New Roman" w:hAnsi="Arial" w:cs="Arial"/>
          <w:kern w:val="0"/>
          <w:lang w:eastAsia="fr-FR"/>
          <w14:ligatures w14:val="none"/>
        </w:rPr>
        <w:t>, l’antibiotique de choix est l’azithromycine (500 mg en une prise 1h avant le geste). Cependant, cette molécule est contre-indiquée chez les patients ayant un allongement de l’intervalle QT ; dans ce cas la molécule préconisée est la pristinamycine (1g en une prise 1h avant le geste, hors AMM). Il est recommandé de préciser sur l’ordonnance « délivrance à l’unité » pour toute prescription d’antibioprophylaxie pour encourager cette pratique, même si toutes les pharmacies ne pratiquent pas à ce jour la délivrance à l’unité des antibiotiques.</w:t>
      </w:r>
    </w:p>
    <w:p w14:paraId="2965202F" w14:textId="77777777" w:rsidR="0048178A" w:rsidRPr="0048178A" w:rsidRDefault="0048178A" w:rsidP="0048178A">
      <w:pPr>
        <w:spacing w:after="0" w:line="240" w:lineRule="auto"/>
        <w:rPr>
          <w:rFonts w:ascii="Arial" w:eastAsia="Times New Roman" w:hAnsi="Arial" w:cs="Arial"/>
          <w:kern w:val="0"/>
          <w:sz w:val="24"/>
          <w:szCs w:val="24"/>
          <w:lang w:eastAsia="fr-FR"/>
          <w14:ligatures w14:val="none"/>
        </w:rPr>
      </w:pPr>
    </w:p>
    <w:p w14:paraId="0C315D7D" w14:textId="77777777" w:rsidR="00B258BC" w:rsidRPr="0048178A" w:rsidRDefault="00000000" w:rsidP="0048178A">
      <w:pPr>
        <w:spacing w:after="0" w:line="240" w:lineRule="auto"/>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pict w14:anchorId="392FE504">
          <v:rect id="_x0000_i1027" style="width:0;height:1.5pt" o:hralign="center" o:hrstd="t" o:hr="t" fillcolor="#a0a0a0" stroked="f"/>
        </w:pict>
      </w:r>
    </w:p>
    <w:p w14:paraId="5CDC4A2B" w14:textId="77777777" w:rsidR="00B258BC" w:rsidRPr="0048178A" w:rsidRDefault="00B258BC" w:rsidP="0048178A">
      <w:pPr>
        <w:spacing w:after="0" w:line="240" w:lineRule="auto"/>
        <w:rPr>
          <w:rFonts w:ascii="Arial" w:eastAsia="Times New Roman" w:hAnsi="Arial" w:cs="Arial"/>
          <w:b/>
          <w:bCs/>
          <w:i/>
          <w:iCs/>
          <w:kern w:val="0"/>
          <w:sz w:val="20"/>
          <w:szCs w:val="20"/>
          <w:lang w:eastAsia="fr-FR"/>
          <w14:ligatures w14:val="none"/>
        </w:rPr>
      </w:pPr>
      <w:r w:rsidRPr="0048178A">
        <w:rPr>
          <w:rFonts w:ascii="Arial" w:eastAsia="Times New Roman" w:hAnsi="Arial" w:cs="Arial"/>
          <w:b/>
          <w:bCs/>
          <w:i/>
          <w:iCs/>
          <w:kern w:val="0"/>
          <w:sz w:val="20"/>
          <w:szCs w:val="20"/>
          <w:lang w:eastAsia="fr-FR"/>
          <w14:ligatures w14:val="none"/>
        </w:rPr>
        <w:t>Sources :</w:t>
      </w:r>
    </w:p>
    <w:p w14:paraId="0A163196" w14:textId="77777777" w:rsidR="00B258BC" w:rsidRPr="0048178A" w:rsidRDefault="00B258BC" w:rsidP="0048178A">
      <w:pPr>
        <w:spacing w:after="0" w:line="240" w:lineRule="auto"/>
        <w:rPr>
          <w:rFonts w:ascii="Arial" w:eastAsia="Times New Roman" w:hAnsi="Arial" w:cs="Arial"/>
          <w:kern w:val="0"/>
          <w:sz w:val="20"/>
          <w:szCs w:val="20"/>
          <w:lang w:eastAsia="fr-FR"/>
          <w14:ligatures w14:val="none"/>
        </w:rPr>
      </w:pPr>
      <w:proofErr w:type="spellStart"/>
      <w:r w:rsidRPr="0048178A">
        <w:rPr>
          <w:rFonts w:ascii="Arial" w:eastAsia="Times New Roman" w:hAnsi="Arial" w:cs="Arial"/>
          <w:kern w:val="0"/>
          <w:sz w:val="20"/>
          <w:szCs w:val="20"/>
          <w:lang w:eastAsia="fr-FR"/>
          <w14:ligatures w14:val="none"/>
        </w:rPr>
        <w:t>Antibiodentaire</w:t>
      </w:r>
      <w:proofErr w:type="spellEnd"/>
      <w:r w:rsidRPr="0048178A">
        <w:rPr>
          <w:rFonts w:ascii="Arial" w:eastAsia="Times New Roman" w:hAnsi="Arial" w:cs="Arial"/>
          <w:kern w:val="0"/>
          <w:sz w:val="20"/>
          <w:szCs w:val="20"/>
          <w:lang w:eastAsia="fr-FR"/>
          <w14:ligatures w14:val="none"/>
        </w:rPr>
        <w:t xml:space="preserve"> : </w:t>
      </w:r>
      <w:hyperlink r:id="rId5" w:tgtFrame="_blank" w:history="1">
        <w:r w:rsidRPr="0048178A">
          <w:rPr>
            <w:rFonts w:ascii="Arial" w:eastAsia="Times New Roman" w:hAnsi="Arial" w:cs="Arial"/>
            <w:color w:val="0000FF"/>
            <w:kern w:val="0"/>
            <w:sz w:val="20"/>
            <w:szCs w:val="20"/>
            <w:u w:val="single"/>
            <w:lang w:eastAsia="fr-FR"/>
            <w14:ligatures w14:val="none"/>
          </w:rPr>
          <w:t xml:space="preserve">Antibioprophylaxie en cas d'actes invasifs chez les patients à haut risque d'endocardite infectieuse - </w:t>
        </w:r>
        <w:proofErr w:type="spellStart"/>
        <w:r w:rsidRPr="0048178A">
          <w:rPr>
            <w:rFonts w:ascii="Arial" w:eastAsia="Times New Roman" w:hAnsi="Arial" w:cs="Arial"/>
            <w:color w:val="0000FF"/>
            <w:kern w:val="0"/>
            <w:sz w:val="20"/>
            <w:szCs w:val="20"/>
            <w:u w:val="single"/>
            <w:lang w:eastAsia="fr-FR"/>
            <w14:ligatures w14:val="none"/>
          </w:rPr>
          <w:t>AntibioGuide</w:t>
        </w:r>
        <w:proofErr w:type="spellEnd"/>
        <w:r w:rsidRPr="0048178A">
          <w:rPr>
            <w:rFonts w:ascii="Arial" w:eastAsia="Times New Roman" w:hAnsi="Arial" w:cs="Arial"/>
            <w:color w:val="0000FF"/>
            <w:kern w:val="0"/>
            <w:sz w:val="20"/>
            <w:szCs w:val="20"/>
            <w:u w:val="single"/>
            <w:lang w:eastAsia="fr-FR"/>
            <w14:ligatures w14:val="none"/>
          </w:rPr>
          <w:t xml:space="preserve"> &amp; </w:t>
        </w:r>
        <w:proofErr w:type="spellStart"/>
        <w:r w:rsidRPr="0048178A">
          <w:rPr>
            <w:rFonts w:ascii="Arial" w:eastAsia="Times New Roman" w:hAnsi="Arial" w:cs="Arial"/>
            <w:color w:val="0000FF"/>
            <w:kern w:val="0"/>
            <w:sz w:val="20"/>
            <w:szCs w:val="20"/>
            <w:u w:val="single"/>
            <w:lang w:eastAsia="fr-FR"/>
            <w14:ligatures w14:val="none"/>
          </w:rPr>
          <w:t>AntibioDentaire</w:t>
        </w:r>
        <w:proofErr w:type="spellEnd"/>
        <w:r w:rsidRPr="0048178A">
          <w:rPr>
            <w:rFonts w:ascii="Arial" w:eastAsia="Times New Roman" w:hAnsi="Arial" w:cs="Arial"/>
            <w:color w:val="0000FF"/>
            <w:kern w:val="0"/>
            <w:sz w:val="20"/>
            <w:szCs w:val="20"/>
            <w:u w:val="single"/>
            <w:lang w:eastAsia="fr-FR"/>
            <w14:ligatures w14:val="none"/>
          </w:rPr>
          <w:t xml:space="preserve"> - </w:t>
        </w:r>
        <w:proofErr w:type="spellStart"/>
        <w:r w:rsidRPr="0048178A">
          <w:rPr>
            <w:rFonts w:ascii="Arial" w:eastAsia="Times New Roman" w:hAnsi="Arial" w:cs="Arial"/>
            <w:color w:val="0000FF"/>
            <w:kern w:val="0"/>
            <w:sz w:val="20"/>
            <w:szCs w:val="20"/>
            <w:u w:val="single"/>
            <w:lang w:eastAsia="fr-FR"/>
            <w14:ligatures w14:val="none"/>
          </w:rPr>
          <w:t>AntibioEst</w:t>
        </w:r>
        <w:proofErr w:type="spellEnd"/>
      </w:hyperlink>
    </w:p>
    <w:p w14:paraId="1078F26E" w14:textId="77777777" w:rsidR="00B258BC" w:rsidRPr="0048178A" w:rsidRDefault="00B258BC" w:rsidP="0048178A">
      <w:pPr>
        <w:spacing w:after="0" w:line="240" w:lineRule="auto"/>
        <w:rPr>
          <w:rFonts w:ascii="Arial" w:eastAsia="Times New Roman" w:hAnsi="Arial" w:cs="Arial"/>
          <w:kern w:val="0"/>
          <w:sz w:val="20"/>
          <w:szCs w:val="20"/>
          <w:lang w:eastAsia="fr-FR"/>
          <w14:ligatures w14:val="none"/>
        </w:rPr>
      </w:pPr>
      <w:r w:rsidRPr="0048178A">
        <w:rPr>
          <w:rFonts w:ascii="Arial" w:eastAsia="Times New Roman" w:hAnsi="Arial" w:cs="Arial"/>
          <w:kern w:val="0"/>
          <w:sz w:val="20"/>
          <w:szCs w:val="20"/>
          <w:lang w:eastAsia="fr-FR"/>
          <w14:ligatures w14:val="none"/>
        </w:rPr>
        <w:t xml:space="preserve">HAS : </w:t>
      </w:r>
      <w:hyperlink r:id="rId6" w:tgtFrame="_blank" w:history="1">
        <w:r w:rsidRPr="0048178A">
          <w:rPr>
            <w:rFonts w:ascii="Arial" w:eastAsia="Times New Roman" w:hAnsi="Arial" w:cs="Arial"/>
            <w:color w:val="0000FF"/>
            <w:kern w:val="0"/>
            <w:sz w:val="20"/>
            <w:szCs w:val="20"/>
            <w:u w:val="single"/>
            <w:lang w:eastAsia="fr-FR"/>
            <w14:ligatures w14:val="none"/>
          </w:rPr>
          <w:t>Prise en charge bucco-dentaire des patients à risque d’endocardite infectieuse</w:t>
        </w:r>
      </w:hyperlink>
    </w:p>
    <w:p w14:paraId="17787CCB" w14:textId="77777777" w:rsidR="00B258BC" w:rsidRPr="0048178A" w:rsidRDefault="00B258BC" w:rsidP="0048178A">
      <w:pPr>
        <w:spacing w:after="0" w:line="240" w:lineRule="auto"/>
        <w:rPr>
          <w:rFonts w:ascii="Arial" w:eastAsia="Times New Roman" w:hAnsi="Arial" w:cs="Arial"/>
          <w:kern w:val="0"/>
          <w:sz w:val="24"/>
          <w:szCs w:val="24"/>
          <w:lang w:eastAsia="fr-FR"/>
          <w14:ligatures w14:val="none"/>
        </w:rPr>
      </w:pPr>
    </w:p>
    <w:p w14:paraId="66DDA1BC" w14:textId="77777777" w:rsidR="00B258BC" w:rsidRPr="0048178A" w:rsidRDefault="00B258BC" w:rsidP="0048178A">
      <w:pPr>
        <w:pStyle w:val="NormalWeb"/>
        <w:spacing w:before="0" w:beforeAutospacing="0" w:after="0" w:afterAutospacing="0"/>
        <w:rPr>
          <w:rFonts w:ascii="Arial" w:hAnsi="Arial" w:cs="Arial"/>
        </w:rPr>
      </w:pPr>
    </w:p>
    <w:p w14:paraId="7E86A96F" w14:textId="77777777" w:rsidR="00F879A8" w:rsidRPr="0048178A" w:rsidRDefault="00F879A8" w:rsidP="0048178A">
      <w:pPr>
        <w:spacing w:after="0"/>
        <w:rPr>
          <w:rFonts w:ascii="Arial" w:hAnsi="Arial" w:cs="Arial"/>
        </w:rPr>
      </w:pPr>
    </w:p>
    <w:sectPr w:rsidR="00F879A8" w:rsidRPr="00481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B0F"/>
    <w:multiLevelType w:val="hybridMultilevel"/>
    <w:tmpl w:val="E488CE2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DD02A9"/>
    <w:multiLevelType w:val="hybridMultilevel"/>
    <w:tmpl w:val="74985C6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550895"/>
    <w:multiLevelType w:val="hybridMultilevel"/>
    <w:tmpl w:val="F7F03B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E831B68"/>
    <w:multiLevelType w:val="hybridMultilevel"/>
    <w:tmpl w:val="17E067D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3C969B2"/>
    <w:multiLevelType w:val="hybridMultilevel"/>
    <w:tmpl w:val="5A7CA09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5CF5E7A"/>
    <w:multiLevelType w:val="hybridMultilevel"/>
    <w:tmpl w:val="C9BCD31A"/>
    <w:lvl w:ilvl="0" w:tplc="4B60300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CC308FF"/>
    <w:multiLevelType w:val="hybridMultilevel"/>
    <w:tmpl w:val="19AAE9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34839921">
    <w:abstractNumId w:val="2"/>
  </w:num>
  <w:num w:numId="2" w16cid:durableId="1116410682">
    <w:abstractNumId w:val="5"/>
  </w:num>
  <w:num w:numId="3" w16cid:durableId="1778938866">
    <w:abstractNumId w:val="1"/>
  </w:num>
  <w:num w:numId="4" w16cid:durableId="544635843">
    <w:abstractNumId w:val="3"/>
  </w:num>
  <w:num w:numId="5" w16cid:durableId="1494680976">
    <w:abstractNumId w:val="6"/>
  </w:num>
  <w:num w:numId="6" w16cid:durableId="1297222446">
    <w:abstractNumId w:val="0"/>
  </w:num>
  <w:num w:numId="7" w16cid:durableId="1636645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BC"/>
    <w:rsid w:val="00205C2C"/>
    <w:rsid w:val="00242EAA"/>
    <w:rsid w:val="0048178A"/>
    <w:rsid w:val="00632D05"/>
    <w:rsid w:val="008175BD"/>
    <w:rsid w:val="00B258BC"/>
    <w:rsid w:val="00BD5C74"/>
    <w:rsid w:val="00DE48FD"/>
    <w:rsid w:val="00F87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E4DA"/>
  <w15:chartTrackingRefBased/>
  <w15:docId w15:val="{F714F576-F3D9-402F-899C-791BA207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8BC"/>
  </w:style>
  <w:style w:type="paragraph" w:styleId="Titre1">
    <w:name w:val="heading 1"/>
    <w:basedOn w:val="Normal"/>
    <w:next w:val="Normal"/>
    <w:link w:val="Titre1Car"/>
    <w:uiPriority w:val="9"/>
    <w:qFormat/>
    <w:rsid w:val="00B25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25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258B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258B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258B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258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58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58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58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58B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258B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258B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258B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258B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258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58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58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58BC"/>
    <w:rPr>
      <w:rFonts w:eastAsiaTheme="majorEastAsia" w:cstheme="majorBidi"/>
      <w:color w:val="272727" w:themeColor="text1" w:themeTint="D8"/>
    </w:rPr>
  </w:style>
  <w:style w:type="paragraph" w:styleId="Titre">
    <w:name w:val="Title"/>
    <w:basedOn w:val="Normal"/>
    <w:next w:val="Normal"/>
    <w:link w:val="TitreCar"/>
    <w:uiPriority w:val="10"/>
    <w:qFormat/>
    <w:rsid w:val="00B25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58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58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58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58BC"/>
    <w:pPr>
      <w:spacing w:before="160"/>
      <w:jc w:val="center"/>
    </w:pPr>
    <w:rPr>
      <w:i/>
      <w:iCs/>
      <w:color w:val="404040" w:themeColor="text1" w:themeTint="BF"/>
    </w:rPr>
  </w:style>
  <w:style w:type="character" w:customStyle="1" w:styleId="CitationCar">
    <w:name w:val="Citation Car"/>
    <w:basedOn w:val="Policepardfaut"/>
    <w:link w:val="Citation"/>
    <w:uiPriority w:val="29"/>
    <w:rsid w:val="00B258BC"/>
    <w:rPr>
      <w:i/>
      <w:iCs/>
      <w:color w:val="404040" w:themeColor="text1" w:themeTint="BF"/>
    </w:rPr>
  </w:style>
  <w:style w:type="paragraph" w:styleId="Paragraphedeliste">
    <w:name w:val="List Paragraph"/>
    <w:basedOn w:val="Normal"/>
    <w:uiPriority w:val="34"/>
    <w:qFormat/>
    <w:rsid w:val="00B258BC"/>
    <w:pPr>
      <w:ind w:left="720"/>
      <w:contextualSpacing/>
    </w:pPr>
  </w:style>
  <w:style w:type="character" w:styleId="Accentuationintense">
    <w:name w:val="Intense Emphasis"/>
    <w:basedOn w:val="Policepardfaut"/>
    <w:uiPriority w:val="21"/>
    <w:qFormat/>
    <w:rsid w:val="00B258BC"/>
    <w:rPr>
      <w:i/>
      <w:iCs/>
      <w:color w:val="2F5496" w:themeColor="accent1" w:themeShade="BF"/>
    </w:rPr>
  </w:style>
  <w:style w:type="paragraph" w:styleId="Citationintense">
    <w:name w:val="Intense Quote"/>
    <w:basedOn w:val="Normal"/>
    <w:next w:val="Normal"/>
    <w:link w:val="CitationintenseCar"/>
    <w:uiPriority w:val="30"/>
    <w:qFormat/>
    <w:rsid w:val="00B258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258BC"/>
    <w:rPr>
      <w:i/>
      <w:iCs/>
      <w:color w:val="2F5496" w:themeColor="accent1" w:themeShade="BF"/>
    </w:rPr>
  </w:style>
  <w:style w:type="character" w:styleId="Rfrenceintense">
    <w:name w:val="Intense Reference"/>
    <w:basedOn w:val="Policepardfaut"/>
    <w:uiPriority w:val="32"/>
    <w:qFormat/>
    <w:rsid w:val="00B258BC"/>
    <w:rPr>
      <w:b/>
      <w:bCs/>
      <w:smallCaps/>
      <w:color w:val="2F5496" w:themeColor="accent1" w:themeShade="BF"/>
      <w:spacing w:val="5"/>
    </w:rPr>
  </w:style>
  <w:style w:type="paragraph" w:styleId="NormalWeb">
    <w:name w:val="Normal (Web)"/>
    <w:basedOn w:val="Normal"/>
    <w:uiPriority w:val="99"/>
    <w:semiHidden/>
    <w:unhideWhenUsed/>
    <w:rsid w:val="00B258B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s-sante.fr/upload/docs/application/pdf/2024-04/_reco_pec_dentaire_am_mel.pdf" TargetMode="External"/><Relationship Id="rId5" Type="http://schemas.openxmlformats.org/officeDocument/2006/relationships/hyperlink" Target="https://guides.antibioest.org/antibiodentaire/antibioprophylaxie-en-cas-dactes-invasifs-chez-les-patients-a-haut-risque-dendocardite-infectieus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3535</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Gries</dc:creator>
  <cp:keywords/>
  <dc:description/>
  <cp:lastModifiedBy>Jean-Luc Gries</cp:lastModifiedBy>
  <cp:revision>2</cp:revision>
  <dcterms:created xsi:type="dcterms:W3CDTF">2026-01-13T15:28:00Z</dcterms:created>
  <dcterms:modified xsi:type="dcterms:W3CDTF">2026-01-13T15:28:00Z</dcterms:modified>
</cp:coreProperties>
</file>