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4303" w14:textId="5FD87F9E" w:rsidR="003963B0" w:rsidRPr="00A56B90" w:rsidRDefault="00A56B90" w:rsidP="00A56B90">
      <w:pPr>
        <w:pStyle w:val="NormalWeb"/>
        <w:shd w:val="clear" w:color="auto" w:fill="4472C4" w:themeFill="accent1"/>
        <w:rPr>
          <w:rFonts w:ascii="Arial" w:hAnsi="Arial" w:cs="Arial"/>
          <w:b/>
          <w:bCs/>
          <w:color w:val="FFFFFF" w:themeColor="background1"/>
          <w:sz w:val="32"/>
          <w:szCs w:val="32"/>
        </w:rPr>
      </w:pPr>
      <w:r w:rsidRPr="00A56B90">
        <w:rPr>
          <w:rFonts w:ascii="Arial" w:hAnsi="Arial" w:cs="Arial"/>
          <w:b/>
          <w:bCs/>
          <w:color w:val="FFFFFF" w:themeColor="background1"/>
          <w:sz w:val="32"/>
          <w:szCs w:val="32"/>
        </w:rPr>
        <w:t>SITUATION CLINIQUE DU MOIS : RÉPONSES</w:t>
      </w:r>
    </w:p>
    <w:p w14:paraId="642D03F9" w14:textId="7630D8F9" w:rsidR="003963B0" w:rsidRPr="00A56B90" w:rsidRDefault="003963B0" w:rsidP="003963B0">
      <w:pPr>
        <w:pStyle w:val="NormalWeb"/>
        <w:rPr>
          <w:rFonts w:ascii="Arial" w:hAnsi="Arial" w:cs="Arial"/>
          <w:sz w:val="22"/>
          <w:szCs w:val="22"/>
        </w:rPr>
      </w:pPr>
      <w:r w:rsidRPr="00A56B90">
        <w:rPr>
          <w:rFonts w:ascii="Arial" w:hAnsi="Arial" w:cs="Arial"/>
          <w:sz w:val="22"/>
          <w:szCs w:val="22"/>
        </w:rPr>
        <w:t>M. P., 68 ans, consulte pour toux, fièvre et dyspnée apparues brutalement la veille.</w:t>
      </w:r>
    </w:p>
    <w:p w14:paraId="2DFE6437" w14:textId="77777777" w:rsidR="003963B0" w:rsidRPr="00A56B90" w:rsidRDefault="003963B0" w:rsidP="003963B0">
      <w:pPr>
        <w:pStyle w:val="NormalWeb"/>
        <w:rPr>
          <w:rFonts w:ascii="Arial" w:hAnsi="Arial" w:cs="Arial"/>
          <w:sz w:val="22"/>
          <w:szCs w:val="22"/>
        </w:rPr>
      </w:pPr>
      <w:r w:rsidRPr="00A56B90">
        <w:rPr>
          <w:rFonts w:ascii="Arial" w:hAnsi="Arial" w:cs="Arial"/>
          <w:sz w:val="22"/>
          <w:szCs w:val="22"/>
        </w:rPr>
        <w:t>Dans ses comorbidités, on note un diabète de type 2 (dernière Hba1c à 6,8%) et une HTA traitée contrôlée.</w:t>
      </w:r>
    </w:p>
    <w:p w14:paraId="13575605" w14:textId="77777777" w:rsidR="003963B0" w:rsidRPr="00A56B90" w:rsidRDefault="003963B0" w:rsidP="003963B0">
      <w:pPr>
        <w:pStyle w:val="NormalWeb"/>
        <w:rPr>
          <w:rFonts w:ascii="Arial" w:hAnsi="Arial" w:cs="Arial"/>
          <w:sz w:val="22"/>
          <w:szCs w:val="22"/>
        </w:rPr>
      </w:pPr>
      <w:r w:rsidRPr="00A56B90">
        <w:rPr>
          <w:rFonts w:ascii="Arial" w:hAnsi="Arial" w:cs="Arial"/>
          <w:sz w:val="22"/>
          <w:szCs w:val="22"/>
        </w:rPr>
        <w:t>Il est tabagique actif évalué à 22 PA. Il ne boit pas d’alcool.</w:t>
      </w:r>
    </w:p>
    <w:p w14:paraId="188BAE99" w14:textId="77777777" w:rsidR="003963B0" w:rsidRPr="00A56B90" w:rsidRDefault="003963B0" w:rsidP="003963B0">
      <w:pPr>
        <w:pStyle w:val="NormalWeb"/>
        <w:rPr>
          <w:rFonts w:ascii="Arial" w:hAnsi="Arial" w:cs="Arial"/>
          <w:sz w:val="22"/>
          <w:szCs w:val="22"/>
        </w:rPr>
      </w:pPr>
      <w:r w:rsidRPr="00A56B90">
        <w:rPr>
          <w:rFonts w:ascii="Arial" w:hAnsi="Arial" w:cs="Arial"/>
          <w:sz w:val="22"/>
          <w:szCs w:val="22"/>
        </w:rPr>
        <w:t>Il n’a pas d’allergie.</w:t>
      </w:r>
    </w:p>
    <w:p w14:paraId="41B5E093" w14:textId="77777777" w:rsidR="003963B0" w:rsidRPr="00A56B90" w:rsidRDefault="003963B0" w:rsidP="003963B0">
      <w:pPr>
        <w:pStyle w:val="NormalWeb"/>
        <w:rPr>
          <w:rFonts w:ascii="Arial" w:hAnsi="Arial" w:cs="Arial"/>
          <w:sz w:val="22"/>
          <w:szCs w:val="22"/>
        </w:rPr>
      </w:pPr>
      <w:r w:rsidRPr="00A56B90">
        <w:rPr>
          <w:rFonts w:ascii="Arial" w:hAnsi="Arial" w:cs="Arial"/>
          <w:sz w:val="22"/>
          <w:szCs w:val="22"/>
        </w:rPr>
        <w:t>A l’examen physique, on note une PA à 135/90 mm Hg, une fréquence cardiaque régulière à 86/min, une saturation en air ambiant à 94%, une FR à 18/min et une température à 38,7°C. L’auscultation pulmonaire note un foyer de crépitants en base droite.</w:t>
      </w:r>
    </w:p>
    <w:p w14:paraId="63187FA3" w14:textId="6520BE05" w:rsidR="003963B0" w:rsidRPr="00A56B90" w:rsidRDefault="003963B0" w:rsidP="003963B0">
      <w:pPr>
        <w:pStyle w:val="NormalWeb"/>
        <w:rPr>
          <w:rFonts w:ascii="Arial" w:hAnsi="Arial" w:cs="Arial"/>
          <w:sz w:val="22"/>
          <w:szCs w:val="22"/>
        </w:rPr>
      </w:pPr>
      <w:r w:rsidRPr="00A56B90">
        <w:rPr>
          <w:rFonts w:ascii="Arial" w:hAnsi="Arial" w:cs="Arial"/>
          <w:sz w:val="22"/>
          <w:szCs w:val="22"/>
        </w:rPr>
        <w:t>Vous suspectez une pneumonie aiguë communautaire (PAC).</w:t>
      </w:r>
    </w:p>
    <w:p w14:paraId="22E2242F" w14:textId="77777777" w:rsidR="004B2C89" w:rsidRPr="00A56B90" w:rsidRDefault="004B2C89" w:rsidP="003963B0">
      <w:pPr>
        <w:pStyle w:val="NormalWeb"/>
        <w:rPr>
          <w:rFonts w:ascii="Arial" w:hAnsi="Arial" w:cs="Arial"/>
          <w:sz w:val="22"/>
          <w:szCs w:val="22"/>
        </w:rPr>
      </w:pPr>
    </w:p>
    <w:p w14:paraId="5DE58A9B" w14:textId="77777777" w:rsidR="003963B0" w:rsidRPr="00A56B90" w:rsidRDefault="003963B0" w:rsidP="003963B0">
      <w:pPr>
        <w:spacing w:before="100" w:beforeAutospacing="1" w:after="100" w:afterAutospacing="1"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t>Question 1 :</w:t>
      </w:r>
      <w:r w:rsidRPr="00A56B90">
        <w:rPr>
          <w:rFonts w:ascii="Arial" w:eastAsia="Times New Roman" w:hAnsi="Arial" w:cs="Arial"/>
          <w:b/>
          <w:bCs/>
          <w:color w:val="4472C4" w:themeColor="accent1"/>
          <w:kern w:val="0"/>
          <w:lang w:eastAsia="fr-FR"/>
          <w14:ligatures w14:val="none"/>
        </w:rPr>
        <w:br/>
        <w:t>Quel(s) examen(s) complémentaire(s) demandez-vous pour confirmer votre suspicion diagnostique clinique ?</w:t>
      </w:r>
    </w:p>
    <w:p w14:paraId="290D9FA0" w14:textId="0128BCD9" w:rsidR="003963B0" w:rsidRPr="00A56B90" w:rsidRDefault="003963B0" w:rsidP="003963B0">
      <w:pPr>
        <w:pStyle w:val="NormalWeb"/>
        <w:numPr>
          <w:ilvl w:val="0"/>
          <w:numId w:val="1"/>
        </w:numPr>
        <w:rPr>
          <w:rFonts w:ascii="Arial" w:hAnsi="Arial" w:cs="Arial"/>
          <w:sz w:val="22"/>
          <w:szCs w:val="22"/>
        </w:rPr>
      </w:pPr>
      <w:r w:rsidRPr="00A56B90">
        <w:rPr>
          <w:rFonts w:ascii="Arial" w:hAnsi="Arial" w:cs="Arial"/>
          <w:sz w:val="22"/>
          <w:szCs w:val="22"/>
        </w:rPr>
        <w:t>Aucun examen complémentaire n’est nécessaire</w:t>
      </w:r>
    </w:p>
    <w:p w14:paraId="705E5F37" w14:textId="10B6B009" w:rsidR="003963B0" w:rsidRPr="00A56B90" w:rsidRDefault="003963B0" w:rsidP="003963B0">
      <w:pPr>
        <w:pStyle w:val="NormalWeb"/>
        <w:numPr>
          <w:ilvl w:val="0"/>
          <w:numId w:val="1"/>
        </w:numPr>
        <w:rPr>
          <w:rFonts w:ascii="Arial" w:hAnsi="Arial" w:cs="Arial"/>
          <w:b/>
          <w:bCs/>
          <w:color w:val="EE0000"/>
          <w:sz w:val="22"/>
          <w:szCs w:val="22"/>
        </w:rPr>
      </w:pPr>
      <w:r w:rsidRPr="00A56B90">
        <w:rPr>
          <w:rFonts w:ascii="Arial" w:hAnsi="Arial" w:cs="Arial"/>
          <w:b/>
          <w:bCs/>
          <w:color w:val="EE0000"/>
          <w:sz w:val="22"/>
          <w:szCs w:val="22"/>
        </w:rPr>
        <w:t>Une radio pulmonaire</w:t>
      </w:r>
    </w:p>
    <w:p w14:paraId="23CB82EE" w14:textId="315A50CE" w:rsidR="003963B0" w:rsidRPr="00A56B90" w:rsidRDefault="003963B0" w:rsidP="003963B0">
      <w:pPr>
        <w:pStyle w:val="NormalWeb"/>
        <w:numPr>
          <w:ilvl w:val="0"/>
          <w:numId w:val="1"/>
        </w:numPr>
        <w:rPr>
          <w:rFonts w:ascii="Arial" w:hAnsi="Arial" w:cs="Arial"/>
          <w:sz w:val="22"/>
          <w:szCs w:val="22"/>
        </w:rPr>
      </w:pPr>
      <w:r w:rsidRPr="00A56B90">
        <w:rPr>
          <w:rFonts w:ascii="Arial" w:hAnsi="Arial" w:cs="Arial"/>
          <w:sz w:val="22"/>
          <w:szCs w:val="22"/>
        </w:rPr>
        <w:t>Un scanner thoracique</w:t>
      </w:r>
    </w:p>
    <w:p w14:paraId="57239DC3" w14:textId="019E387D" w:rsidR="003963B0" w:rsidRPr="00A56B90" w:rsidRDefault="003963B0" w:rsidP="003963B0">
      <w:pPr>
        <w:pStyle w:val="NormalWeb"/>
        <w:numPr>
          <w:ilvl w:val="0"/>
          <w:numId w:val="1"/>
        </w:numPr>
        <w:rPr>
          <w:rFonts w:ascii="Arial" w:hAnsi="Arial" w:cs="Arial"/>
          <w:sz w:val="22"/>
          <w:szCs w:val="22"/>
        </w:rPr>
      </w:pPr>
      <w:r w:rsidRPr="00A56B90">
        <w:rPr>
          <w:rFonts w:ascii="Arial" w:hAnsi="Arial" w:cs="Arial"/>
          <w:sz w:val="22"/>
          <w:szCs w:val="22"/>
        </w:rPr>
        <w:t xml:space="preserve">Un dosage de </w:t>
      </w:r>
      <w:proofErr w:type="spellStart"/>
      <w:r w:rsidRPr="00A56B90">
        <w:rPr>
          <w:rFonts w:ascii="Arial" w:hAnsi="Arial" w:cs="Arial"/>
          <w:sz w:val="22"/>
          <w:szCs w:val="22"/>
        </w:rPr>
        <w:t>crp</w:t>
      </w:r>
      <w:proofErr w:type="spellEnd"/>
      <w:r w:rsidRPr="00A56B90">
        <w:rPr>
          <w:rFonts w:ascii="Arial" w:hAnsi="Arial" w:cs="Arial"/>
          <w:sz w:val="22"/>
          <w:szCs w:val="22"/>
        </w:rPr>
        <w:t xml:space="preserve"> </w:t>
      </w:r>
    </w:p>
    <w:p w14:paraId="7DB6362B" w14:textId="56A0E9A9" w:rsidR="003963B0" w:rsidRPr="00A56B90" w:rsidRDefault="003963B0" w:rsidP="003963B0">
      <w:pPr>
        <w:pStyle w:val="NormalWeb"/>
        <w:numPr>
          <w:ilvl w:val="0"/>
          <w:numId w:val="1"/>
        </w:numPr>
        <w:rPr>
          <w:rFonts w:ascii="Arial" w:hAnsi="Arial" w:cs="Arial"/>
          <w:sz w:val="22"/>
          <w:szCs w:val="22"/>
        </w:rPr>
      </w:pPr>
      <w:r w:rsidRPr="00A56B90">
        <w:rPr>
          <w:rFonts w:ascii="Arial" w:hAnsi="Arial" w:cs="Arial"/>
          <w:sz w:val="22"/>
          <w:szCs w:val="22"/>
        </w:rPr>
        <w:t xml:space="preserve">Un examen </w:t>
      </w:r>
      <w:proofErr w:type="spellStart"/>
      <w:r w:rsidRPr="00A56B90">
        <w:rPr>
          <w:rFonts w:ascii="Arial" w:hAnsi="Arial" w:cs="Arial"/>
          <w:sz w:val="22"/>
          <w:szCs w:val="22"/>
        </w:rPr>
        <w:t>cyto-bactério</w:t>
      </w:r>
      <w:proofErr w:type="spellEnd"/>
      <w:r w:rsidRPr="00A56B90">
        <w:rPr>
          <w:rFonts w:ascii="Arial" w:hAnsi="Arial" w:cs="Arial"/>
          <w:sz w:val="22"/>
          <w:szCs w:val="22"/>
        </w:rPr>
        <w:t xml:space="preserve"> des crachats (ECBC)</w:t>
      </w:r>
    </w:p>
    <w:p w14:paraId="2EEDF6BD" w14:textId="489495F7" w:rsidR="003963B0" w:rsidRPr="00A56B90" w:rsidRDefault="003963B0" w:rsidP="003963B0">
      <w:pPr>
        <w:pStyle w:val="NormalWeb"/>
        <w:numPr>
          <w:ilvl w:val="0"/>
          <w:numId w:val="1"/>
        </w:numPr>
        <w:rPr>
          <w:rFonts w:ascii="Arial" w:hAnsi="Arial" w:cs="Arial"/>
          <w:sz w:val="22"/>
          <w:szCs w:val="22"/>
        </w:rPr>
      </w:pPr>
      <w:r w:rsidRPr="00A56B90">
        <w:rPr>
          <w:rFonts w:ascii="Arial" w:hAnsi="Arial" w:cs="Arial"/>
          <w:sz w:val="22"/>
          <w:szCs w:val="22"/>
        </w:rPr>
        <w:t>Une PCR virale multiplex</w:t>
      </w:r>
    </w:p>
    <w:p w14:paraId="774172CA" w14:textId="78C213DA" w:rsidR="005F5928" w:rsidRPr="00A56B90" w:rsidRDefault="005F5928" w:rsidP="005F5928">
      <w:pPr>
        <w:pStyle w:val="NormalWeb"/>
        <w:rPr>
          <w:rFonts w:ascii="Arial" w:hAnsi="Arial" w:cs="Arial"/>
          <w:color w:val="EE0000"/>
          <w:sz w:val="22"/>
          <w:szCs w:val="22"/>
        </w:rPr>
      </w:pPr>
      <w:r w:rsidRPr="00A56B90">
        <w:rPr>
          <w:rFonts w:ascii="Arial" w:hAnsi="Arial" w:cs="Arial"/>
          <w:color w:val="EE0000"/>
          <w:sz w:val="22"/>
          <w:szCs w:val="22"/>
        </w:rPr>
        <w:t xml:space="preserve">Réponse exacte : Réponse </w:t>
      </w:r>
      <w:r w:rsidR="00DB4EA6" w:rsidRPr="00A56B90">
        <w:rPr>
          <w:rFonts w:ascii="Arial" w:hAnsi="Arial" w:cs="Arial"/>
          <w:color w:val="EE0000"/>
          <w:sz w:val="22"/>
          <w:szCs w:val="22"/>
        </w:rPr>
        <w:t>B</w:t>
      </w:r>
    </w:p>
    <w:p w14:paraId="6C2929AC" w14:textId="77777777" w:rsidR="005F5928" w:rsidRPr="00A56B90" w:rsidRDefault="005F5928" w:rsidP="005F5928">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u w:val="single"/>
          <w:lang w:eastAsia="fr-FR"/>
          <w14:ligatures w14:val="none"/>
        </w:rPr>
        <w:t>Justification</w:t>
      </w:r>
      <w:r w:rsidRPr="00A56B90">
        <w:rPr>
          <w:rFonts w:ascii="Arial" w:eastAsia="Times New Roman" w:hAnsi="Arial" w:cs="Arial"/>
          <w:i/>
          <w:iCs/>
          <w:kern w:val="0"/>
          <w:lang w:eastAsia="fr-FR"/>
          <w14:ligatures w14:val="none"/>
        </w:rPr>
        <w:t xml:space="preserve"> :</w:t>
      </w:r>
    </w:p>
    <w:p w14:paraId="02309523" w14:textId="77777777" w:rsidR="005F5928" w:rsidRPr="00A56B90" w:rsidRDefault="005F5928" w:rsidP="005F5928">
      <w:pPr>
        <w:numPr>
          <w:ilvl w:val="0"/>
          <w:numId w:val="11"/>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 xml:space="preserve">Dans les PAC ambulatoires, il est recommandé de réaliser une radiographie du thorax (ou une échographie </w:t>
      </w:r>
      <w:proofErr w:type="spellStart"/>
      <w:r w:rsidRPr="00A56B90">
        <w:rPr>
          <w:rFonts w:ascii="Arial" w:eastAsia="Times New Roman" w:hAnsi="Arial" w:cs="Arial"/>
          <w:i/>
          <w:iCs/>
          <w:kern w:val="0"/>
          <w:lang w:eastAsia="fr-FR"/>
          <w14:ligatures w14:val="none"/>
        </w:rPr>
        <w:t>pleuro-pulmonaire</w:t>
      </w:r>
      <w:proofErr w:type="spellEnd"/>
      <w:r w:rsidRPr="00A56B90">
        <w:rPr>
          <w:rFonts w:ascii="Arial" w:eastAsia="Times New Roman" w:hAnsi="Arial" w:cs="Arial"/>
          <w:i/>
          <w:iCs/>
          <w:kern w:val="0"/>
          <w:lang w:eastAsia="fr-FR"/>
          <w14:ligatures w14:val="none"/>
        </w:rPr>
        <w:t>) dans un délai court (&lt; 3 jours). En cas de forte présomption de PAC bactérienne, il ne faut pas retarder l’antibiothérapie. En cas de normalité de la radiographie, il faut reconsidérer le diagnostic de PAC et donc la nécessité d’une antibiothérapie.</w:t>
      </w:r>
    </w:p>
    <w:p w14:paraId="1CD617B0" w14:textId="77777777" w:rsidR="005F5928" w:rsidRPr="00A56B90" w:rsidRDefault="005F5928" w:rsidP="005F5928">
      <w:pPr>
        <w:numPr>
          <w:ilvl w:val="0"/>
          <w:numId w:val="11"/>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Le scanner thoracique n’a pas d’indication lors de la prise en charge d’une PAC en ambulatoire à la phase diagnostique.</w:t>
      </w:r>
    </w:p>
    <w:p w14:paraId="5C5788B7" w14:textId="77777777" w:rsidR="005F5928" w:rsidRPr="00A56B90" w:rsidRDefault="005F5928" w:rsidP="005F5928">
      <w:pPr>
        <w:numPr>
          <w:ilvl w:val="0"/>
          <w:numId w:val="11"/>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Les dosages de la CRP (et de la PCT) ne sont pas recommandés pour le diagnostic et le suivi d’une PAC en ambulatoire. Ils ne modifient pas la décision de débuter ou non une antibiothérapie.</w:t>
      </w:r>
    </w:p>
    <w:p w14:paraId="2524B3CB" w14:textId="77777777" w:rsidR="005F5928" w:rsidRPr="00A56B90" w:rsidRDefault="005F5928" w:rsidP="005F5928">
      <w:pPr>
        <w:numPr>
          <w:ilvl w:val="0"/>
          <w:numId w:val="11"/>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Dans les PAC ambulatoires il n’est pas recommandé de réaliser d’ECBC.</w:t>
      </w:r>
    </w:p>
    <w:p w14:paraId="0C122806" w14:textId="77777777" w:rsidR="005F5928" w:rsidRPr="00A56B90" w:rsidRDefault="005F5928" w:rsidP="005F5928">
      <w:pPr>
        <w:numPr>
          <w:ilvl w:val="0"/>
          <w:numId w:val="11"/>
        </w:numPr>
        <w:spacing w:before="100" w:beforeAutospacing="1" w:after="100" w:afterAutospacing="1" w:line="240" w:lineRule="auto"/>
        <w:rPr>
          <w:rFonts w:ascii="Arial" w:eastAsia="Times New Roman" w:hAnsi="Arial" w:cs="Arial"/>
          <w:kern w:val="0"/>
          <w:lang w:eastAsia="fr-FR"/>
          <w14:ligatures w14:val="none"/>
        </w:rPr>
      </w:pPr>
      <w:r w:rsidRPr="00A56B90">
        <w:rPr>
          <w:rFonts w:ascii="Arial" w:eastAsia="Times New Roman" w:hAnsi="Arial" w:cs="Arial"/>
          <w:i/>
          <w:iCs/>
          <w:kern w:val="0"/>
          <w:lang w:eastAsia="fr-FR"/>
          <w14:ligatures w14:val="none"/>
        </w:rPr>
        <w:t>Dans les PAC ambulatoires, la recherche des virus respiratoires ainsi que l’utilisation des PCR syndromiques ne sont pas recommandées</w:t>
      </w:r>
      <w:r w:rsidRPr="00A56B90">
        <w:rPr>
          <w:rFonts w:ascii="Arial" w:eastAsia="Times New Roman" w:hAnsi="Arial" w:cs="Arial"/>
          <w:kern w:val="0"/>
          <w:lang w:eastAsia="fr-FR"/>
          <w14:ligatures w14:val="none"/>
        </w:rPr>
        <w:t>.</w:t>
      </w:r>
    </w:p>
    <w:p w14:paraId="7F4C9555" w14:textId="77777777" w:rsidR="005F5928" w:rsidRPr="00A56B90" w:rsidRDefault="005F5928" w:rsidP="005F5928">
      <w:pPr>
        <w:pStyle w:val="NormalWeb"/>
        <w:rPr>
          <w:rFonts w:ascii="Arial" w:hAnsi="Arial" w:cs="Arial"/>
          <w:sz w:val="22"/>
          <w:szCs w:val="22"/>
        </w:rPr>
      </w:pPr>
    </w:p>
    <w:p w14:paraId="354B8994" w14:textId="77777777" w:rsidR="003963B0" w:rsidRPr="00A56B90" w:rsidRDefault="003963B0" w:rsidP="00EC6347">
      <w:pPr>
        <w:pStyle w:val="NormalWeb"/>
        <w:ind w:left="720"/>
        <w:rPr>
          <w:rFonts w:ascii="Arial" w:hAnsi="Arial" w:cs="Arial"/>
          <w:sz w:val="22"/>
          <w:szCs w:val="22"/>
        </w:rPr>
      </w:pPr>
    </w:p>
    <w:p w14:paraId="4A08D750" w14:textId="77777777" w:rsidR="003963B0" w:rsidRPr="00A56B90" w:rsidRDefault="003963B0" w:rsidP="003963B0">
      <w:pPr>
        <w:spacing w:before="100" w:beforeAutospacing="1" w:after="100" w:afterAutospacing="1" w:line="240" w:lineRule="auto"/>
        <w:rPr>
          <w:rFonts w:ascii="Arial" w:eastAsia="Times New Roman" w:hAnsi="Arial" w:cs="Arial"/>
          <w:i/>
          <w:iCs/>
          <w:kern w:val="0"/>
          <w:lang w:eastAsia="fr-FR"/>
          <w14:ligatures w14:val="none"/>
        </w:rPr>
      </w:pPr>
    </w:p>
    <w:p w14:paraId="270D694D" w14:textId="77777777" w:rsidR="003963B0" w:rsidRPr="00A56B90" w:rsidRDefault="003963B0" w:rsidP="00A56B90">
      <w:pPr>
        <w:spacing w:after="0"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lastRenderedPageBreak/>
        <w:t>Question 2 :</w:t>
      </w:r>
    </w:p>
    <w:p w14:paraId="488D70AF" w14:textId="77777777" w:rsidR="003963B0" w:rsidRPr="00A56B90" w:rsidRDefault="003963B0" w:rsidP="00A56B90">
      <w:pPr>
        <w:spacing w:after="100" w:afterAutospacing="1"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t>Quel antibiotique prescrivez-vous ?</w:t>
      </w:r>
    </w:p>
    <w:p w14:paraId="20290CDF" w14:textId="765B327B" w:rsidR="00F879A8" w:rsidRPr="00A56B90" w:rsidRDefault="003963B0" w:rsidP="003963B0">
      <w:pPr>
        <w:pStyle w:val="Paragraphedeliste"/>
        <w:numPr>
          <w:ilvl w:val="0"/>
          <w:numId w:val="4"/>
        </w:numPr>
        <w:rPr>
          <w:rFonts w:ascii="Arial" w:hAnsi="Arial" w:cs="Arial"/>
        </w:rPr>
      </w:pPr>
      <w:r w:rsidRPr="00A56B90">
        <w:rPr>
          <w:rFonts w:ascii="Arial" w:hAnsi="Arial" w:cs="Arial"/>
        </w:rPr>
        <w:t>Amoxi</w:t>
      </w:r>
      <w:r w:rsidR="00EC6347" w:rsidRPr="00A56B90">
        <w:rPr>
          <w:rFonts w:ascii="Arial" w:hAnsi="Arial" w:cs="Arial"/>
        </w:rPr>
        <w:t>c</w:t>
      </w:r>
      <w:r w:rsidRPr="00A56B90">
        <w:rPr>
          <w:rFonts w:ascii="Arial" w:hAnsi="Arial" w:cs="Arial"/>
        </w:rPr>
        <w:t xml:space="preserve">illine </w:t>
      </w:r>
      <w:r w:rsidR="00EC6347" w:rsidRPr="00A56B90">
        <w:rPr>
          <w:rFonts w:ascii="Arial" w:hAnsi="Arial" w:cs="Arial"/>
        </w:rPr>
        <w:t>– Acide clavulanique 1gr /125mg 3/jour</w:t>
      </w:r>
    </w:p>
    <w:p w14:paraId="19E4B703" w14:textId="44C17F92" w:rsidR="00EC6347" w:rsidRPr="00A56B90" w:rsidRDefault="00EC6347" w:rsidP="003963B0">
      <w:pPr>
        <w:pStyle w:val="Paragraphedeliste"/>
        <w:numPr>
          <w:ilvl w:val="0"/>
          <w:numId w:val="4"/>
        </w:numPr>
        <w:rPr>
          <w:rFonts w:ascii="Arial" w:hAnsi="Arial" w:cs="Arial"/>
          <w:b/>
          <w:bCs/>
          <w:color w:val="EE0000"/>
        </w:rPr>
      </w:pPr>
      <w:r w:rsidRPr="00A56B90">
        <w:rPr>
          <w:rFonts w:ascii="Arial" w:hAnsi="Arial" w:cs="Arial"/>
          <w:b/>
          <w:bCs/>
          <w:color w:val="EE0000"/>
        </w:rPr>
        <w:t>Amoxicilline 1gr 3x/jour</w:t>
      </w:r>
    </w:p>
    <w:p w14:paraId="2D8F23F1" w14:textId="59062253" w:rsidR="00EC6347" w:rsidRPr="00A56B90" w:rsidRDefault="00EC6347" w:rsidP="003963B0">
      <w:pPr>
        <w:pStyle w:val="Paragraphedeliste"/>
        <w:numPr>
          <w:ilvl w:val="0"/>
          <w:numId w:val="4"/>
        </w:numPr>
        <w:rPr>
          <w:rFonts w:ascii="Arial" w:hAnsi="Arial" w:cs="Arial"/>
        </w:rPr>
      </w:pPr>
      <w:r w:rsidRPr="00A56B90">
        <w:rPr>
          <w:rFonts w:ascii="Arial" w:hAnsi="Arial" w:cs="Arial"/>
        </w:rPr>
        <w:t>Ceftriaxone 1gr/jour en IM</w:t>
      </w:r>
    </w:p>
    <w:p w14:paraId="6B815C16" w14:textId="10B22F98" w:rsidR="00EC6347" w:rsidRPr="00A56B90" w:rsidRDefault="00EC6347" w:rsidP="003963B0">
      <w:pPr>
        <w:pStyle w:val="Paragraphedeliste"/>
        <w:numPr>
          <w:ilvl w:val="0"/>
          <w:numId w:val="4"/>
        </w:numPr>
        <w:rPr>
          <w:rFonts w:ascii="Arial" w:hAnsi="Arial" w:cs="Arial"/>
        </w:rPr>
      </w:pPr>
      <w:r w:rsidRPr="00A56B90">
        <w:rPr>
          <w:rFonts w:ascii="Arial" w:hAnsi="Arial" w:cs="Arial"/>
        </w:rPr>
        <w:t>Pristinamycine 1gr 3x/jour</w:t>
      </w:r>
    </w:p>
    <w:p w14:paraId="6EA2F471" w14:textId="1E8E960D" w:rsidR="00BC4BEB" w:rsidRPr="00A56B90" w:rsidRDefault="00BC4BEB" w:rsidP="00A56B90">
      <w:pPr>
        <w:pStyle w:val="NormalWeb"/>
        <w:rPr>
          <w:rFonts w:ascii="Arial" w:hAnsi="Arial" w:cs="Arial"/>
          <w:color w:val="EE0000"/>
          <w:sz w:val="22"/>
          <w:szCs w:val="22"/>
        </w:rPr>
      </w:pPr>
      <w:r w:rsidRPr="00A56B90">
        <w:rPr>
          <w:rFonts w:ascii="Arial" w:hAnsi="Arial" w:cs="Arial"/>
          <w:color w:val="EE0000"/>
          <w:sz w:val="22"/>
          <w:szCs w:val="22"/>
        </w:rPr>
        <w:t>Réponse exacte : Réponse B</w:t>
      </w:r>
    </w:p>
    <w:p w14:paraId="235BB7E8" w14:textId="77777777" w:rsidR="00BC4BEB" w:rsidRPr="00A56B90" w:rsidRDefault="00BC4BEB" w:rsidP="00BC4BEB">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u w:val="single"/>
          <w:lang w:eastAsia="fr-FR"/>
          <w14:ligatures w14:val="none"/>
        </w:rPr>
        <w:t xml:space="preserve">Justification </w:t>
      </w:r>
      <w:r w:rsidRPr="00A56B90">
        <w:rPr>
          <w:rFonts w:ascii="Arial" w:eastAsia="Times New Roman" w:hAnsi="Arial" w:cs="Arial"/>
          <w:i/>
          <w:iCs/>
          <w:kern w:val="0"/>
          <w:lang w:eastAsia="fr-FR"/>
          <w14:ligatures w14:val="none"/>
        </w:rPr>
        <w:t>:</w:t>
      </w:r>
    </w:p>
    <w:p w14:paraId="10AB0890" w14:textId="77777777" w:rsidR="00BC4BEB" w:rsidRPr="00A56B90" w:rsidRDefault="00BC4BEB" w:rsidP="00BC4BEB">
      <w:pPr>
        <w:numPr>
          <w:ilvl w:val="0"/>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 xml:space="preserve">L’antibiothérapie probabiliste d’une PAC ambulatoire chez le patient sans comorbidités est l’amoxicilline. Les comorbidités à prendre à compte sont les suivantes : </w:t>
      </w:r>
    </w:p>
    <w:p w14:paraId="0C744885"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Hospitalisation dans les 3 mois précédents</w:t>
      </w:r>
    </w:p>
    <w:p w14:paraId="640EBF60"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Antibiothérapie dans le mois précédent*</w:t>
      </w:r>
    </w:p>
    <w:p w14:paraId="24D0B465"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Ethylisme chronique</w:t>
      </w:r>
    </w:p>
    <w:p w14:paraId="75A55D75"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Troubles de la déglutition</w:t>
      </w:r>
    </w:p>
    <w:p w14:paraId="63FF3861"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Maladie neurologique avec risque de fausses routes**</w:t>
      </w:r>
    </w:p>
    <w:p w14:paraId="5122CA36"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Néoplasie active</w:t>
      </w:r>
    </w:p>
    <w:p w14:paraId="3EB465D0"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Immunodépression***</w:t>
      </w:r>
    </w:p>
    <w:p w14:paraId="29B2C17E"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BPCO sévère (VEMS &lt; 50% de la théorique) ou insuffisance respiratoire chronique (OLD**** ou VNI)</w:t>
      </w:r>
    </w:p>
    <w:p w14:paraId="49B5CBF3"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Insuffisance cardiaque congestive</w:t>
      </w:r>
    </w:p>
    <w:p w14:paraId="5E5E0690"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Insuffisance hépatique</w:t>
      </w:r>
    </w:p>
    <w:p w14:paraId="582EA19F" w14:textId="77777777" w:rsidR="00BC4BEB" w:rsidRPr="00A56B90" w:rsidRDefault="00BC4BEB" w:rsidP="00BC4BEB">
      <w:pPr>
        <w:numPr>
          <w:ilvl w:val="1"/>
          <w:numId w:val="12"/>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Insuffisance rénale chronique (DFG &lt; 30mL/min)</w:t>
      </w:r>
    </w:p>
    <w:p w14:paraId="0FFB2C67" w14:textId="77777777" w:rsidR="00BC4BEB" w:rsidRPr="00A56B90" w:rsidRDefault="00BC4BEB" w:rsidP="00BC4BEB">
      <w:pPr>
        <w:spacing w:before="100" w:beforeAutospacing="1" w:after="100" w:afterAutospacing="1" w:line="240" w:lineRule="auto"/>
        <w:outlineLvl w:val="5"/>
        <w:rPr>
          <w:rFonts w:ascii="Arial" w:eastAsia="Times New Roman" w:hAnsi="Arial" w:cs="Arial"/>
          <w:b/>
          <w:bCs/>
          <w:i/>
          <w:iCs/>
          <w:kern w:val="0"/>
          <w:lang w:eastAsia="fr-FR"/>
          <w14:ligatures w14:val="none"/>
        </w:rPr>
      </w:pPr>
      <w:r w:rsidRPr="00A56B90">
        <w:rPr>
          <w:rFonts w:ascii="Arial" w:eastAsia="Times New Roman" w:hAnsi="Arial" w:cs="Arial"/>
          <w:b/>
          <w:bCs/>
          <w:i/>
          <w:iCs/>
          <w:kern w:val="0"/>
          <w:lang w:eastAsia="fr-FR"/>
          <w14:ligatures w14:val="none"/>
        </w:rPr>
        <w:t xml:space="preserve">* sauf </w:t>
      </w:r>
      <w:proofErr w:type="spellStart"/>
      <w:r w:rsidRPr="00A56B90">
        <w:rPr>
          <w:rFonts w:ascii="Arial" w:eastAsia="Times New Roman" w:hAnsi="Arial" w:cs="Arial"/>
          <w:b/>
          <w:bCs/>
          <w:i/>
          <w:iCs/>
          <w:kern w:val="0"/>
          <w:lang w:eastAsia="fr-FR"/>
          <w14:ligatures w14:val="none"/>
        </w:rPr>
        <w:t>nitrofurantoïne</w:t>
      </w:r>
      <w:proofErr w:type="spellEnd"/>
      <w:r w:rsidRPr="00A56B90">
        <w:rPr>
          <w:rFonts w:ascii="Arial" w:eastAsia="Times New Roman" w:hAnsi="Arial" w:cs="Arial"/>
          <w:b/>
          <w:bCs/>
          <w:i/>
          <w:iCs/>
          <w:kern w:val="0"/>
          <w:lang w:eastAsia="fr-FR"/>
          <w14:ligatures w14:val="none"/>
        </w:rPr>
        <w:t xml:space="preserve">, fosfomycine orale, </w:t>
      </w:r>
      <w:proofErr w:type="spellStart"/>
      <w:r w:rsidRPr="00A56B90">
        <w:rPr>
          <w:rFonts w:ascii="Arial" w:eastAsia="Times New Roman" w:hAnsi="Arial" w:cs="Arial"/>
          <w:b/>
          <w:bCs/>
          <w:i/>
          <w:iCs/>
          <w:kern w:val="0"/>
          <w:lang w:eastAsia="fr-FR"/>
          <w14:ligatures w14:val="none"/>
        </w:rPr>
        <w:t>pivmécillinam</w:t>
      </w:r>
      <w:proofErr w:type="spellEnd"/>
      <w:r w:rsidRPr="00A56B90">
        <w:rPr>
          <w:rFonts w:ascii="Arial" w:eastAsia="Times New Roman" w:hAnsi="Arial" w:cs="Arial"/>
          <w:b/>
          <w:bCs/>
          <w:i/>
          <w:iCs/>
          <w:kern w:val="0"/>
          <w:lang w:eastAsia="fr-FR"/>
          <w14:ligatures w14:val="none"/>
        </w:rPr>
        <w:t xml:space="preserve"> ; **AVC, Parkinson, Démence, SEP… ; ***corticoïdes systémiques ≥ 10 mg/j, autres traitements immunosuppresseurs, </w:t>
      </w:r>
      <w:proofErr w:type="spellStart"/>
      <w:r w:rsidRPr="00A56B90">
        <w:rPr>
          <w:rFonts w:ascii="Arial" w:eastAsia="Times New Roman" w:hAnsi="Arial" w:cs="Arial"/>
          <w:b/>
          <w:bCs/>
          <w:i/>
          <w:iCs/>
          <w:kern w:val="0"/>
          <w:lang w:eastAsia="fr-FR"/>
          <w14:ligatures w14:val="none"/>
        </w:rPr>
        <w:t>asplénie</w:t>
      </w:r>
      <w:proofErr w:type="spellEnd"/>
      <w:r w:rsidRPr="00A56B90">
        <w:rPr>
          <w:rFonts w:ascii="Arial" w:eastAsia="Times New Roman" w:hAnsi="Arial" w:cs="Arial"/>
          <w:b/>
          <w:bCs/>
          <w:i/>
          <w:iCs/>
          <w:kern w:val="0"/>
          <w:lang w:eastAsia="fr-FR"/>
          <w14:ligatures w14:val="none"/>
        </w:rPr>
        <w:t>, agranulocytose, infection par le VIH avec une numération lymphocytaire T CD4 £ 200/mm3, déficit immunitaire primitif</w:t>
      </w:r>
      <w:proofErr w:type="gramStart"/>
      <w:r w:rsidRPr="00A56B90">
        <w:rPr>
          <w:rFonts w:ascii="Arial" w:eastAsia="Times New Roman" w:hAnsi="Arial" w:cs="Arial"/>
          <w:b/>
          <w:bCs/>
          <w:i/>
          <w:iCs/>
          <w:kern w:val="0"/>
          <w:lang w:eastAsia="fr-FR"/>
          <w14:ligatures w14:val="none"/>
        </w:rPr>
        <w:t>…;</w:t>
      </w:r>
      <w:proofErr w:type="gramEnd"/>
      <w:r w:rsidRPr="00A56B90">
        <w:rPr>
          <w:rFonts w:ascii="Arial" w:eastAsia="Times New Roman" w:hAnsi="Arial" w:cs="Arial"/>
          <w:b/>
          <w:bCs/>
          <w:i/>
          <w:iCs/>
          <w:kern w:val="0"/>
          <w:lang w:eastAsia="fr-FR"/>
          <w14:ligatures w14:val="none"/>
        </w:rPr>
        <w:t xml:space="preserve"> ****Oxygénothérapie Longue Durée</w:t>
      </w:r>
    </w:p>
    <w:p w14:paraId="31E32484" w14:textId="77777777" w:rsidR="00BC4BEB" w:rsidRPr="00A56B90" w:rsidRDefault="00BC4BEB" w:rsidP="00BC4BEB">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Si une seule de ces comorbidités est présente, cela justifie de modifier l’antibiothérapie probabiliste pour amoxicilline – acide clavulanique.</w:t>
      </w:r>
    </w:p>
    <w:p w14:paraId="71FC9F29" w14:textId="77777777" w:rsidR="00BC4BEB" w:rsidRPr="00A56B90" w:rsidRDefault="00BC4BEB" w:rsidP="00BC4BEB">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A noter que l</w:t>
      </w:r>
      <w:r w:rsidRPr="00A56B90">
        <w:rPr>
          <w:rFonts w:ascii="Arial" w:eastAsia="Times New Roman" w:hAnsi="Arial" w:cs="Arial"/>
          <w:b/>
          <w:bCs/>
          <w:i/>
          <w:iCs/>
          <w:kern w:val="0"/>
          <w:lang w:eastAsia="fr-FR"/>
          <w14:ligatures w14:val="none"/>
        </w:rPr>
        <w:t>’âge et l’asthme ne sont pas des comorbidités justifiant une modification du choix de l’antibiothérapie probabiliste par amoxicilline.</w:t>
      </w:r>
    </w:p>
    <w:p w14:paraId="0372E57A" w14:textId="77777777" w:rsidR="00BC4BEB" w:rsidRPr="00A56B90" w:rsidRDefault="00BC4BEB" w:rsidP="00BC4BEB">
      <w:pPr>
        <w:numPr>
          <w:ilvl w:val="0"/>
          <w:numId w:val="13"/>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 xml:space="preserve">La pristinamycine est proposée en cas d’allergie chez le patient allergique aux bêtalactamines et sans comorbidités. Chez le patient avec comorbidités, en cas d’allergie non grave, une C3G est recommandée. En cas de contre-indication aux bêtalactamines, on utilisera la </w:t>
      </w:r>
      <w:proofErr w:type="spellStart"/>
      <w:r w:rsidRPr="00A56B90">
        <w:rPr>
          <w:rFonts w:ascii="Arial" w:eastAsia="Times New Roman" w:hAnsi="Arial" w:cs="Arial"/>
          <w:i/>
          <w:iCs/>
          <w:kern w:val="0"/>
          <w:lang w:eastAsia="fr-FR"/>
          <w14:ligatures w14:val="none"/>
        </w:rPr>
        <w:t>lévofloxacine</w:t>
      </w:r>
      <w:proofErr w:type="spellEnd"/>
      <w:r w:rsidRPr="00A56B90">
        <w:rPr>
          <w:rFonts w:ascii="Arial" w:eastAsia="Times New Roman" w:hAnsi="Arial" w:cs="Arial"/>
          <w:i/>
          <w:iCs/>
          <w:kern w:val="0"/>
          <w:lang w:eastAsia="fr-FR"/>
          <w14:ligatures w14:val="none"/>
        </w:rPr>
        <w:t>.</w:t>
      </w:r>
    </w:p>
    <w:p w14:paraId="2D096A7B" w14:textId="77777777" w:rsidR="00BC4BEB" w:rsidRPr="00A56B90" w:rsidRDefault="00BC4BEB" w:rsidP="00BC4BEB">
      <w:pPr>
        <w:rPr>
          <w:rFonts w:ascii="Arial" w:hAnsi="Arial" w:cs="Arial"/>
        </w:rPr>
      </w:pPr>
    </w:p>
    <w:p w14:paraId="2BE46269" w14:textId="77777777" w:rsidR="00A56B90" w:rsidRDefault="00A56B90">
      <w:pPr>
        <w:rPr>
          <w:rFonts w:ascii="Arial" w:eastAsia="Times New Roman" w:hAnsi="Arial" w:cs="Arial"/>
          <w:kern w:val="0"/>
          <w:lang w:eastAsia="fr-FR"/>
          <w14:ligatures w14:val="none"/>
        </w:rPr>
      </w:pPr>
      <w:r>
        <w:rPr>
          <w:rFonts w:ascii="Arial" w:eastAsia="Times New Roman" w:hAnsi="Arial" w:cs="Arial"/>
          <w:kern w:val="0"/>
          <w:lang w:eastAsia="fr-FR"/>
          <w14:ligatures w14:val="none"/>
        </w:rPr>
        <w:br w:type="page"/>
      </w:r>
    </w:p>
    <w:p w14:paraId="2202ABFD" w14:textId="03D20A5E" w:rsidR="00EC6347" w:rsidRPr="00A56B90" w:rsidRDefault="00EC6347" w:rsidP="00EC6347">
      <w:pPr>
        <w:spacing w:before="100" w:beforeAutospacing="1" w:after="100" w:afterAutospacing="1" w:line="240" w:lineRule="auto"/>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lastRenderedPageBreak/>
        <w:t>Vous revoyez le patient 3 jours après le début de son traitement antibiotique. Il se sent beaucoup mieux. La pression artérielle est à 130/85 mm Hg, la fréquence cardiaque est à 70 bpm, il est apyrétique, la saturation est à 96% en air ambiant et la fréquence respiratoire à 12/min.</w:t>
      </w:r>
    </w:p>
    <w:p w14:paraId="5B8CDF60" w14:textId="77777777" w:rsidR="00EC6347" w:rsidRPr="00A56B90" w:rsidRDefault="00EC6347" w:rsidP="00A56B90">
      <w:pPr>
        <w:spacing w:after="0"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t>Question 3 :</w:t>
      </w:r>
    </w:p>
    <w:p w14:paraId="4662573E" w14:textId="77777777" w:rsidR="00EC6347" w:rsidRPr="00A56B90" w:rsidRDefault="00EC6347" w:rsidP="00A56B90">
      <w:pPr>
        <w:spacing w:after="0"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t>Quelle durée totale d’antibiothérapie proposez-vous ?</w:t>
      </w:r>
    </w:p>
    <w:p w14:paraId="187A2BCD" w14:textId="7A0B6EC2" w:rsidR="00EC6347" w:rsidRPr="00A56B90" w:rsidRDefault="00EC6347" w:rsidP="00A56B90">
      <w:pPr>
        <w:pStyle w:val="Paragraphedeliste"/>
        <w:numPr>
          <w:ilvl w:val="0"/>
          <w:numId w:val="7"/>
        </w:numPr>
        <w:spacing w:after="100" w:afterAutospacing="1" w:line="240" w:lineRule="auto"/>
        <w:ind w:left="709" w:hanging="425"/>
        <w:outlineLvl w:val="2"/>
        <w:rPr>
          <w:rFonts w:ascii="Arial" w:eastAsia="Times New Roman" w:hAnsi="Arial" w:cs="Arial"/>
          <w:b/>
          <w:bCs/>
          <w:color w:val="EE0000"/>
          <w:kern w:val="0"/>
          <w:lang w:eastAsia="fr-FR"/>
          <w14:ligatures w14:val="none"/>
        </w:rPr>
      </w:pPr>
      <w:r w:rsidRPr="00A56B90">
        <w:rPr>
          <w:rFonts w:ascii="Arial" w:eastAsia="Times New Roman" w:hAnsi="Arial" w:cs="Arial"/>
          <w:b/>
          <w:bCs/>
          <w:color w:val="EE0000"/>
          <w:kern w:val="0"/>
          <w:lang w:eastAsia="fr-FR"/>
          <w14:ligatures w14:val="none"/>
        </w:rPr>
        <w:t>3 jours</w:t>
      </w:r>
    </w:p>
    <w:p w14:paraId="0E61A057" w14:textId="62CDBB6D" w:rsidR="00EC6347" w:rsidRPr="00A56B90" w:rsidRDefault="00EC6347" w:rsidP="00A56B90">
      <w:pPr>
        <w:pStyle w:val="Paragraphedeliste"/>
        <w:numPr>
          <w:ilvl w:val="0"/>
          <w:numId w:val="7"/>
        </w:numPr>
        <w:spacing w:before="100" w:beforeAutospacing="1" w:after="100" w:afterAutospacing="1" w:line="240" w:lineRule="auto"/>
        <w:ind w:left="709" w:hanging="425"/>
        <w:outlineLvl w:val="2"/>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5 jours</w:t>
      </w:r>
    </w:p>
    <w:p w14:paraId="491D5BC0" w14:textId="6A69401E" w:rsidR="00EC6347" w:rsidRPr="00A56B90" w:rsidRDefault="00EC6347" w:rsidP="00A56B90">
      <w:pPr>
        <w:pStyle w:val="Paragraphedeliste"/>
        <w:numPr>
          <w:ilvl w:val="0"/>
          <w:numId w:val="7"/>
        </w:numPr>
        <w:spacing w:before="100" w:beforeAutospacing="1" w:after="100" w:afterAutospacing="1" w:line="240" w:lineRule="auto"/>
        <w:ind w:left="709" w:hanging="425"/>
        <w:outlineLvl w:val="2"/>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10 jours</w:t>
      </w:r>
    </w:p>
    <w:p w14:paraId="32E80FA7" w14:textId="75D315AF" w:rsidR="00EC6347" w:rsidRPr="00A56B90" w:rsidRDefault="00EC6347" w:rsidP="00A56B90">
      <w:pPr>
        <w:pStyle w:val="Paragraphedeliste"/>
        <w:numPr>
          <w:ilvl w:val="0"/>
          <w:numId w:val="7"/>
        </w:numPr>
        <w:spacing w:before="100" w:beforeAutospacing="1" w:after="100" w:afterAutospacing="1" w:line="240" w:lineRule="auto"/>
        <w:ind w:left="709" w:hanging="425"/>
        <w:outlineLvl w:val="2"/>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10 jours</w:t>
      </w:r>
    </w:p>
    <w:p w14:paraId="4D090E0A" w14:textId="122C9A66" w:rsidR="00EC6347" w:rsidRPr="00A56B90" w:rsidRDefault="00EC6347" w:rsidP="00A56B90">
      <w:pPr>
        <w:pStyle w:val="Paragraphedeliste"/>
        <w:numPr>
          <w:ilvl w:val="0"/>
          <w:numId w:val="7"/>
        </w:numPr>
        <w:spacing w:before="100" w:beforeAutospacing="1" w:after="100" w:afterAutospacing="1" w:line="240" w:lineRule="auto"/>
        <w:ind w:left="709" w:hanging="425"/>
        <w:outlineLvl w:val="2"/>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14 jours</w:t>
      </w:r>
    </w:p>
    <w:p w14:paraId="303B4431" w14:textId="3D1F9622" w:rsidR="00AF5C19" w:rsidRPr="00A56B90" w:rsidRDefault="00AE4AF2" w:rsidP="00A56B90">
      <w:pPr>
        <w:pStyle w:val="NormalWeb"/>
        <w:rPr>
          <w:rFonts w:ascii="Arial" w:hAnsi="Arial" w:cs="Arial"/>
          <w:color w:val="EE0000"/>
          <w:sz w:val="22"/>
          <w:szCs w:val="22"/>
        </w:rPr>
      </w:pPr>
      <w:bookmarkStart w:id="0" w:name="_Hlk215157565"/>
      <w:r w:rsidRPr="00A56B90">
        <w:rPr>
          <w:rFonts w:ascii="Arial" w:hAnsi="Arial" w:cs="Arial"/>
          <w:color w:val="EE0000"/>
          <w:sz w:val="22"/>
          <w:szCs w:val="22"/>
        </w:rPr>
        <w:t>Réponse exacte : Réponse A</w:t>
      </w:r>
    </w:p>
    <w:bookmarkEnd w:id="0"/>
    <w:p w14:paraId="5AB72D42" w14:textId="77777777" w:rsidR="00AF5C19" w:rsidRPr="00A56B90" w:rsidRDefault="00AF5C19" w:rsidP="00AF5C19">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u w:val="single"/>
          <w:lang w:eastAsia="fr-FR"/>
          <w14:ligatures w14:val="none"/>
        </w:rPr>
        <w:t>Justification</w:t>
      </w:r>
      <w:r w:rsidRPr="00A56B90">
        <w:rPr>
          <w:rFonts w:ascii="Arial" w:eastAsia="Times New Roman" w:hAnsi="Arial" w:cs="Arial"/>
          <w:i/>
          <w:iCs/>
          <w:kern w:val="0"/>
          <w:lang w:eastAsia="fr-FR"/>
          <w14:ligatures w14:val="none"/>
        </w:rPr>
        <w:t xml:space="preserve"> :</w:t>
      </w:r>
    </w:p>
    <w:p w14:paraId="40502607" w14:textId="77777777" w:rsidR="00AF5C19" w:rsidRPr="00A56B90" w:rsidRDefault="00AF5C19" w:rsidP="00AF5C19">
      <w:pPr>
        <w:numPr>
          <w:ilvl w:val="0"/>
          <w:numId w:val="14"/>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 xml:space="preserve">Les durées recommandées du traitement d’une PAC sont les suivantes : </w:t>
      </w:r>
    </w:p>
    <w:p w14:paraId="5DCFA758" w14:textId="77777777" w:rsidR="00AF5C19" w:rsidRPr="00A56B90" w:rsidRDefault="00AF5C19" w:rsidP="00AF5C19">
      <w:pPr>
        <w:numPr>
          <w:ilvl w:val="1"/>
          <w:numId w:val="14"/>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Au cours des PAC non graves (ambulatoires) et modérément graves (hospitalisation hors soins critiques), et en cas d'obtention de l'ensemble des critères de stabilité clinique à J3, un traitement antibiotique de trois jours au total est recommandé ;</w:t>
      </w:r>
    </w:p>
    <w:p w14:paraId="0253BBC8" w14:textId="77777777" w:rsidR="00AF5C19" w:rsidRPr="00A56B90" w:rsidRDefault="00AF5C19" w:rsidP="00AF5C19">
      <w:pPr>
        <w:numPr>
          <w:ilvl w:val="1"/>
          <w:numId w:val="14"/>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Si la stabilité clinique n'est obtenue qu'entre trois et cinq jours de traitement, un traitement antibiotique de cinq jours au total est recommandé ;</w:t>
      </w:r>
    </w:p>
    <w:p w14:paraId="61578ED8" w14:textId="77777777" w:rsidR="00AF5C19" w:rsidRPr="00A56B90" w:rsidRDefault="00AF5C19" w:rsidP="00AF5C19">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Dans les autres cas de PAC non compliquée, une antibiothérapie de sept jours au total est recommandée.</w:t>
      </w:r>
    </w:p>
    <w:p w14:paraId="770FCE3B" w14:textId="77777777" w:rsidR="00AF5C19" w:rsidRPr="00A56B90" w:rsidRDefault="00AF5C19" w:rsidP="00AF5C19">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Les critères de stabilité sont les suivants :</w:t>
      </w:r>
    </w:p>
    <w:p w14:paraId="3467B581" w14:textId="77777777" w:rsidR="00AF5C19" w:rsidRPr="00A56B90" w:rsidRDefault="00AF5C19" w:rsidP="00AF5C19">
      <w:pPr>
        <w:numPr>
          <w:ilvl w:val="0"/>
          <w:numId w:val="15"/>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Température ≤ 37,8 °C</w:t>
      </w:r>
    </w:p>
    <w:p w14:paraId="09AAEA50" w14:textId="77777777" w:rsidR="00AF5C19" w:rsidRPr="00A56B90" w:rsidRDefault="00AF5C19" w:rsidP="00AF5C19">
      <w:pPr>
        <w:numPr>
          <w:ilvl w:val="0"/>
          <w:numId w:val="15"/>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Pression artérielle systolique ≥ 90 mm Hg</w:t>
      </w:r>
    </w:p>
    <w:p w14:paraId="7CEBA75F" w14:textId="77777777" w:rsidR="00AF5C19" w:rsidRPr="00A56B90" w:rsidRDefault="00AF5C19" w:rsidP="00AF5C19">
      <w:pPr>
        <w:numPr>
          <w:ilvl w:val="0"/>
          <w:numId w:val="15"/>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Fréquence cardiaque ≤ 100/min</w:t>
      </w:r>
    </w:p>
    <w:p w14:paraId="7780DD12" w14:textId="77777777" w:rsidR="00AF5C19" w:rsidRPr="00A56B90" w:rsidRDefault="00AF5C19" w:rsidP="00AF5C19">
      <w:pPr>
        <w:numPr>
          <w:ilvl w:val="0"/>
          <w:numId w:val="15"/>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Fréquence respiratoire ≤ 24/min</w:t>
      </w:r>
    </w:p>
    <w:p w14:paraId="25ADFB98" w14:textId="77777777" w:rsidR="00AF5C19" w:rsidRPr="00A56B90" w:rsidRDefault="00AF5C19" w:rsidP="00AF5C19">
      <w:pPr>
        <w:numPr>
          <w:ilvl w:val="0"/>
          <w:numId w:val="15"/>
        </w:num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SpO2 ≥ 90 % en air ambiant ou PaO2 ≥ 60 mm Hg en air ambiant</w:t>
      </w:r>
    </w:p>
    <w:p w14:paraId="1E99BA08" w14:textId="77777777" w:rsidR="00AF5C19" w:rsidRPr="00A56B90" w:rsidRDefault="00AF5C19" w:rsidP="00A56B90">
      <w:pPr>
        <w:spacing w:before="100" w:beforeAutospacing="1" w:after="0"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 </w:t>
      </w:r>
    </w:p>
    <w:p w14:paraId="6CE25022" w14:textId="77777777" w:rsidR="00A56B90" w:rsidRDefault="00AF5C19" w:rsidP="00AF5C19">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Dans notre cas, le patient répond à tous les critères de stabilité à J3, l’antibiothérapie peut dont être interrompue après 3 jours de traitement.</w:t>
      </w:r>
      <w:r w:rsidRPr="00A56B90">
        <w:rPr>
          <w:rFonts w:ascii="Arial" w:eastAsia="Times New Roman" w:hAnsi="Arial" w:cs="Arial"/>
          <w:i/>
          <w:iCs/>
          <w:kern w:val="0"/>
          <w:lang w:eastAsia="fr-FR"/>
          <w14:ligatures w14:val="none"/>
        </w:rPr>
        <w:br/>
      </w:r>
    </w:p>
    <w:p w14:paraId="0A828725" w14:textId="2761C57F" w:rsidR="00AF5C19" w:rsidRPr="00A56B90" w:rsidRDefault="00AF5C19" w:rsidP="00AF5C19">
      <w:pPr>
        <w:spacing w:before="100" w:beforeAutospacing="1" w:after="100" w:afterAutospacing="1" w:line="240" w:lineRule="auto"/>
        <w:rPr>
          <w:rFonts w:ascii="Arial" w:eastAsia="Times New Roman" w:hAnsi="Arial" w:cs="Arial"/>
          <w:i/>
          <w:iCs/>
          <w:kern w:val="0"/>
          <w:lang w:eastAsia="fr-FR"/>
          <w14:ligatures w14:val="none"/>
        </w:rPr>
      </w:pPr>
      <w:r w:rsidRPr="00A56B90">
        <w:rPr>
          <w:rFonts w:ascii="Arial" w:eastAsia="Times New Roman" w:hAnsi="Arial" w:cs="Arial"/>
          <w:i/>
          <w:iCs/>
          <w:kern w:val="0"/>
          <w:lang w:eastAsia="fr-FR"/>
          <w14:ligatures w14:val="none"/>
        </w:rPr>
        <w:t>Toute antibiothérapie supérieure à 7 jours doit être argumentée.</w:t>
      </w:r>
    </w:p>
    <w:p w14:paraId="06C9CCEC" w14:textId="77777777" w:rsidR="0023765F" w:rsidRPr="00A56B90" w:rsidRDefault="0023765F" w:rsidP="00A56B90">
      <w:pPr>
        <w:spacing w:after="0"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t>Question 4 :</w:t>
      </w:r>
    </w:p>
    <w:p w14:paraId="06C73741" w14:textId="77777777" w:rsidR="0023765F" w:rsidRPr="00A56B90" w:rsidRDefault="0023765F" w:rsidP="00A56B90">
      <w:pPr>
        <w:spacing w:after="0" w:line="240" w:lineRule="auto"/>
        <w:outlineLvl w:val="2"/>
        <w:rPr>
          <w:rFonts w:ascii="Arial" w:eastAsia="Times New Roman" w:hAnsi="Arial" w:cs="Arial"/>
          <w:b/>
          <w:bCs/>
          <w:color w:val="4472C4" w:themeColor="accent1"/>
          <w:kern w:val="0"/>
          <w:lang w:eastAsia="fr-FR"/>
          <w14:ligatures w14:val="none"/>
        </w:rPr>
      </w:pPr>
      <w:r w:rsidRPr="00A56B90">
        <w:rPr>
          <w:rFonts w:ascii="Arial" w:eastAsia="Times New Roman" w:hAnsi="Arial" w:cs="Arial"/>
          <w:b/>
          <w:bCs/>
          <w:color w:val="4472C4" w:themeColor="accent1"/>
          <w:kern w:val="0"/>
          <w:lang w:eastAsia="fr-FR"/>
          <w14:ligatures w14:val="none"/>
        </w:rPr>
        <w:t>Chez ce patient, il est recommandé de réaliser une surveillance radiologique. Par quel examen ?</w:t>
      </w:r>
    </w:p>
    <w:p w14:paraId="15D54485" w14:textId="6B7C44F4" w:rsidR="0023765F" w:rsidRPr="00A56B90" w:rsidRDefault="0023765F" w:rsidP="0023765F">
      <w:pPr>
        <w:pStyle w:val="Paragraphedeliste"/>
        <w:numPr>
          <w:ilvl w:val="0"/>
          <w:numId w:val="10"/>
        </w:numPr>
        <w:spacing w:before="100" w:beforeAutospacing="1" w:after="100" w:afterAutospacing="1" w:line="240" w:lineRule="auto"/>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Radio thoracique à 3 semaines</w:t>
      </w:r>
    </w:p>
    <w:p w14:paraId="375F383D" w14:textId="4CB6045B" w:rsidR="0023765F" w:rsidRPr="00A56B90" w:rsidRDefault="0023765F" w:rsidP="0023765F">
      <w:pPr>
        <w:pStyle w:val="Paragraphedeliste"/>
        <w:numPr>
          <w:ilvl w:val="0"/>
          <w:numId w:val="10"/>
        </w:numPr>
        <w:spacing w:before="100" w:beforeAutospacing="1" w:after="100" w:afterAutospacing="1" w:line="240" w:lineRule="auto"/>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Radio thoracique à 2 mois</w:t>
      </w:r>
    </w:p>
    <w:p w14:paraId="7A91F388" w14:textId="0C3A3201" w:rsidR="0023765F" w:rsidRPr="00A56B90" w:rsidRDefault="0023765F" w:rsidP="0023765F">
      <w:pPr>
        <w:pStyle w:val="Paragraphedeliste"/>
        <w:numPr>
          <w:ilvl w:val="0"/>
          <w:numId w:val="10"/>
        </w:numPr>
        <w:spacing w:before="100" w:beforeAutospacing="1" w:after="100" w:afterAutospacing="1" w:line="240" w:lineRule="auto"/>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Scanner thoracique à 3 semaines</w:t>
      </w:r>
    </w:p>
    <w:p w14:paraId="373E6E8B" w14:textId="33C3A237" w:rsidR="0023765F" w:rsidRPr="00A56B90" w:rsidRDefault="0023765F" w:rsidP="0023765F">
      <w:pPr>
        <w:pStyle w:val="Paragraphedeliste"/>
        <w:numPr>
          <w:ilvl w:val="0"/>
          <w:numId w:val="10"/>
        </w:numPr>
        <w:spacing w:before="100" w:beforeAutospacing="1" w:after="100" w:afterAutospacing="1" w:line="240" w:lineRule="auto"/>
        <w:rPr>
          <w:rFonts w:ascii="Arial" w:eastAsia="Times New Roman" w:hAnsi="Arial" w:cs="Arial"/>
          <w:b/>
          <w:bCs/>
          <w:color w:val="EE0000"/>
          <w:kern w:val="0"/>
          <w:lang w:eastAsia="fr-FR"/>
          <w14:ligatures w14:val="none"/>
        </w:rPr>
      </w:pPr>
      <w:r w:rsidRPr="00A56B90">
        <w:rPr>
          <w:rFonts w:ascii="Arial" w:eastAsia="Times New Roman" w:hAnsi="Arial" w:cs="Arial"/>
          <w:b/>
          <w:bCs/>
          <w:color w:val="EE0000"/>
          <w:kern w:val="0"/>
          <w:lang w:eastAsia="fr-FR"/>
          <w14:ligatures w14:val="none"/>
        </w:rPr>
        <w:t>Scanner thoracique à 2 mois</w:t>
      </w:r>
    </w:p>
    <w:p w14:paraId="030F6700" w14:textId="4B5A8699" w:rsidR="0023765F" w:rsidRPr="00A56B90" w:rsidRDefault="0023765F" w:rsidP="0023765F">
      <w:pPr>
        <w:pStyle w:val="Paragraphedeliste"/>
        <w:numPr>
          <w:ilvl w:val="0"/>
          <w:numId w:val="10"/>
        </w:numPr>
        <w:spacing w:before="100" w:beforeAutospacing="1" w:after="100" w:afterAutospacing="1" w:line="240" w:lineRule="auto"/>
        <w:rPr>
          <w:rFonts w:ascii="Arial" w:eastAsia="Times New Roman" w:hAnsi="Arial" w:cs="Arial"/>
          <w:kern w:val="0"/>
          <w:lang w:eastAsia="fr-FR"/>
          <w14:ligatures w14:val="none"/>
        </w:rPr>
      </w:pPr>
      <w:r w:rsidRPr="00A56B90">
        <w:rPr>
          <w:rFonts w:ascii="Arial" w:eastAsia="Times New Roman" w:hAnsi="Arial" w:cs="Arial"/>
          <w:kern w:val="0"/>
          <w:lang w:eastAsia="fr-FR"/>
          <w14:ligatures w14:val="none"/>
        </w:rPr>
        <w:t>Scanner thoracique à 6 mois</w:t>
      </w:r>
    </w:p>
    <w:p w14:paraId="1B9012EE" w14:textId="7023EDC3" w:rsidR="00246B3D" w:rsidRPr="00A56B90" w:rsidRDefault="00246B3D" w:rsidP="00A56B90">
      <w:pPr>
        <w:pStyle w:val="NormalWeb"/>
        <w:rPr>
          <w:rFonts w:ascii="Arial" w:hAnsi="Arial" w:cs="Arial"/>
          <w:color w:val="EE0000"/>
          <w:sz w:val="22"/>
          <w:szCs w:val="22"/>
        </w:rPr>
      </w:pPr>
      <w:r w:rsidRPr="00A56B90">
        <w:rPr>
          <w:rFonts w:ascii="Arial" w:hAnsi="Arial" w:cs="Arial"/>
          <w:color w:val="EE0000"/>
          <w:sz w:val="22"/>
          <w:szCs w:val="22"/>
        </w:rPr>
        <w:t>Réponse exacte : Réponse D</w:t>
      </w:r>
    </w:p>
    <w:p w14:paraId="59B2FE68" w14:textId="51C6EA64" w:rsidR="002D57EB" w:rsidRPr="00A56B90" w:rsidRDefault="00246B3D" w:rsidP="002D57EB">
      <w:pPr>
        <w:spacing w:before="100" w:beforeAutospacing="1" w:after="100" w:afterAutospacing="1" w:line="240" w:lineRule="auto"/>
        <w:rPr>
          <w:rFonts w:ascii="Arial" w:eastAsia="Times New Roman" w:hAnsi="Arial" w:cs="Arial"/>
          <w:i/>
          <w:iCs/>
          <w:kern w:val="0"/>
          <w:u w:val="single"/>
          <w:lang w:eastAsia="fr-FR"/>
          <w14:ligatures w14:val="none"/>
        </w:rPr>
      </w:pPr>
      <w:r w:rsidRPr="00A56B90">
        <w:rPr>
          <w:rFonts w:ascii="Arial" w:eastAsia="Times New Roman" w:hAnsi="Arial" w:cs="Arial"/>
          <w:i/>
          <w:iCs/>
          <w:kern w:val="0"/>
          <w:u w:val="single"/>
          <w:lang w:eastAsia="fr-FR"/>
          <w14:ligatures w14:val="none"/>
        </w:rPr>
        <w:lastRenderedPageBreak/>
        <w:t>Justification :</w:t>
      </w:r>
    </w:p>
    <w:p w14:paraId="751626ED" w14:textId="21E38C07" w:rsidR="0023765F" w:rsidRPr="00A56B90" w:rsidRDefault="002D57EB" w:rsidP="002D57EB">
      <w:pPr>
        <w:rPr>
          <w:rFonts w:ascii="Arial" w:hAnsi="Arial" w:cs="Arial"/>
          <w:i/>
          <w:iCs/>
        </w:rPr>
      </w:pPr>
      <w:r w:rsidRPr="00A56B90">
        <w:rPr>
          <w:rFonts w:ascii="Arial" w:hAnsi="Arial" w:cs="Arial"/>
          <w:i/>
          <w:iCs/>
        </w:rPr>
        <w:t>En cas de facteur de risque de cancer pulmonaire : âge ≥ 50 ans associé à un tabagisme (≥ 20 paquets-année actif ou sevré depuis moins de 15 ans) et après information du patient dans le cadre d'une décision partagée, un scanner du thorax de contrôle est recommandé.</w:t>
      </w:r>
    </w:p>
    <w:p w14:paraId="6C0576B2" w14:textId="77777777" w:rsidR="00BF02D4" w:rsidRPr="00A56B90" w:rsidRDefault="00BF02D4" w:rsidP="002D57EB">
      <w:pPr>
        <w:rPr>
          <w:rFonts w:ascii="Arial" w:hAnsi="Arial" w:cs="Arial"/>
          <w:i/>
          <w:iCs/>
        </w:rPr>
      </w:pPr>
    </w:p>
    <w:p w14:paraId="36AE037E" w14:textId="77777777" w:rsidR="00BF02D4" w:rsidRPr="00A56B90" w:rsidRDefault="00BF02D4" w:rsidP="00BF02D4">
      <w:pPr>
        <w:spacing w:before="100" w:beforeAutospacing="1" w:after="100" w:afterAutospacing="1" w:line="240" w:lineRule="auto"/>
        <w:outlineLvl w:val="5"/>
        <w:rPr>
          <w:rFonts w:ascii="Arial" w:eastAsia="Times New Roman" w:hAnsi="Arial" w:cs="Arial"/>
          <w:b/>
          <w:bCs/>
          <w:kern w:val="0"/>
          <w:u w:val="single"/>
          <w:lang w:eastAsia="fr-FR"/>
          <w14:ligatures w14:val="none"/>
        </w:rPr>
      </w:pPr>
      <w:r w:rsidRPr="00A56B90">
        <w:rPr>
          <w:rFonts w:ascii="Arial" w:eastAsia="Times New Roman" w:hAnsi="Arial" w:cs="Arial"/>
          <w:b/>
          <w:bCs/>
          <w:kern w:val="0"/>
          <w:u w:val="single"/>
          <w:lang w:eastAsia="fr-FR"/>
          <w14:ligatures w14:val="none"/>
        </w:rPr>
        <w:t>Sources :</w:t>
      </w:r>
    </w:p>
    <w:p w14:paraId="4D8CD67E" w14:textId="595B9CD4" w:rsidR="00BF02D4" w:rsidRPr="00A56B90" w:rsidRDefault="00BF02D4" w:rsidP="00BF02D4">
      <w:pPr>
        <w:numPr>
          <w:ilvl w:val="0"/>
          <w:numId w:val="16"/>
        </w:numPr>
        <w:spacing w:before="100" w:beforeAutospacing="1" w:after="100" w:afterAutospacing="1" w:line="240" w:lineRule="auto"/>
        <w:outlineLvl w:val="5"/>
        <w:rPr>
          <w:rFonts w:ascii="Arial" w:eastAsia="Times New Roman" w:hAnsi="Arial" w:cs="Arial"/>
          <w:b/>
          <w:bCs/>
          <w:kern w:val="0"/>
          <w:lang w:eastAsia="fr-FR"/>
          <w14:ligatures w14:val="none"/>
        </w:rPr>
      </w:pPr>
      <w:r w:rsidRPr="00A56B90">
        <w:rPr>
          <w:rFonts w:ascii="Arial" w:eastAsia="Times New Roman" w:hAnsi="Arial" w:cs="Arial"/>
          <w:b/>
          <w:bCs/>
          <w:kern w:val="0"/>
          <w:lang w:eastAsia="fr-FR"/>
          <w14:ligatures w14:val="none"/>
        </w:rPr>
        <w:t xml:space="preserve">Fiche de la HAS : Choix et durée d'antibiothérapie : </w:t>
      </w:r>
      <w:hyperlink r:id="rId5" w:tgtFrame="_blank" w:history="1">
        <w:r w:rsidRPr="00A56B90">
          <w:rPr>
            <w:rFonts w:ascii="Arial" w:eastAsia="Times New Roman" w:hAnsi="Arial" w:cs="Arial"/>
            <w:b/>
            <w:bCs/>
            <w:color w:val="0000FF"/>
            <w:kern w:val="0"/>
            <w:u w:val="single"/>
            <w:lang w:eastAsia="fr-FR"/>
            <w14:ligatures w14:val="none"/>
          </w:rPr>
          <w:t>Pneumonie aiguë communautaire chez l'adulte, en ambulatoire</w:t>
        </w:r>
      </w:hyperlink>
    </w:p>
    <w:p w14:paraId="2F0D89E0" w14:textId="77777777" w:rsidR="00BF02D4" w:rsidRPr="00A56B90" w:rsidRDefault="00BF02D4" w:rsidP="00BF02D4">
      <w:pPr>
        <w:numPr>
          <w:ilvl w:val="0"/>
          <w:numId w:val="16"/>
        </w:numPr>
        <w:spacing w:before="100" w:beforeAutospacing="1" w:after="100" w:afterAutospacing="1" w:line="240" w:lineRule="auto"/>
        <w:outlineLvl w:val="5"/>
        <w:rPr>
          <w:rFonts w:ascii="Arial" w:eastAsia="Times New Roman" w:hAnsi="Arial" w:cs="Arial"/>
          <w:b/>
          <w:bCs/>
          <w:kern w:val="0"/>
          <w:lang w:eastAsia="fr-FR"/>
          <w14:ligatures w14:val="none"/>
        </w:rPr>
      </w:pPr>
      <w:r w:rsidRPr="00A56B90">
        <w:rPr>
          <w:rFonts w:ascii="Arial" w:eastAsia="Times New Roman" w:hAnsi="Arial" w:cs="Arial"/>
          <w:b/>
          <w:bCs/>
          <w:kern w:val="0"/>
          <w:lang w:eastAsia="fr-FR"/>
          <w14:ligatures w14:val="none"/>
        </w:rPr>
        <w:t xml:space="preserve">Actualisation des recommandations de prise en charge des pneumonies aiguës communautaires chez l'adulte par la Société de Pathologie Infectieuse de Langue Française (SPILF) et la Société de Pneumologie de Langue Française (SPLF). Avec le soutien de la Société de Réanimation de Langue Française, (SRLF), de la Société Française de Microbiologie (SFM), de la Société Française de Radiologie (SFR) et de la Société Française de Médecine d'Urgence (SFMU) - </w:t>
      </w:r>
      <w:hyperlink r:id="rId6" w:tgtFrame="_blank" w:history="1">
        <w:proofErr w:type="spellStart"/>
        <w:r w:rsidRPr="00A56B90">
          <w:rPr>
            <w:rFonts w:ascii="Arial" w:eastAsia="Times New Roman" w:hAnsi="Arial" w:cs="Arial"/>
            <w:b/>
            <w:bCs/>
            <w:color w:val="0000FF"/>
            <w:kern w:val="0"/>
            <w:u w:val="single"/>
            <w:lang w:eastAsia="fr-FR"/>
            <w14:ligatures w14:val="none"/>
          </w:rPr>
          <w:t>ScienceDirect</w:t>
        </w:r>
        <w:proofErr w:type="spellEnd"/>
      </w:hyperlink>
    </w:p>
    <w:p w14:paraId="356F11A5" w14:textId="77777777" w:rsidR="00BF02D4" w:rsidRPr="00A56B90" w:rsidRDefault="00BF02D4" w:rsidP="00BF02D4">
      <w:pPr>
        <w:numPr>
          <w:ilvl w:val="0"/>
          <w:numId w:val="16"/>
        </w:numPr>
        <w:spacing w:before="100" w:beforeAutospacing="1" w:after="100" w:afterAutospacing="1" w:line="240" w:lineRule="auto"/>
        <w:outlineLvl w:val="5"/>
        <w:rPr>
          <w:rFonts w:ascii="Arial" w:eastAsia="Times New Roman" w:hAnsi="Arial" w:cs="Arial"/>
          <w:b/>
          <w:bCs/>
          <w:kern w:val="0"/>
          <w:lang w:eastAsia="fr-FR"/>
          <w14:ligatures w14:val="none"/>
        </w:rPr>
      </w:pPr>
      <w:proofErr w:type="spellStart"/>
      <w:r w:rsidRPr="00A56B90">
        <w:rPr>
          <w:rFonts w:ascii="Arial" w:eastAsia="Times New Roman" w:hAnsi="Arial" w:cs="Arial"/>
          <w:b/>
          <w:bCs/>
          <w:kern w:val="0"/>
          <w:lang w:eastAsia="fr-FR"/>
          <w14:ligatures w14:val="none"/>
        </w:rPr>
        <w:t>AntibioClic</w:t>
      </w:r>
      <w:proofErr w:type="spellEnd"/>
      <w:r w:rsidRPr="00A56B90">
        <w:rPr>
          <w:rFonts w:ascii="Arial" w:eastAsia="Times New Roman" w:hAnsi="Arial" w:cs="Arial"/>
          <w:b/>
          <w:bCs/>
          <w:kern w:val="0"/>
          <w:lang w:eastAsia="fr-FR"/>
          <w14:ligatures w14:val="none"/>
        </w:rPr>
        <w:t xml:space="preserve"> :  </w:t>
      </w:r>
      <w:hyperlink r:id="rId7" w:tgtFrame="_blank" w:history="1">
        <w:r w:rsidRPr="00A56B90">
          <w:rPr>
            <w:rFonts w:ascii="Arial" w:eastAsia="Times New Roman" w:hAnsi="Arial" w:cs="Arial"/>
            <w:b/>
            <w:bCs/>
            <w:color w:val="0000FF"/>
            <w:kern w:val="0"/>
            <w:u w:val="single"/>
            <w:lang w:eastAsia="fr-FR"/>
            <w14:ligatures w14:val="none"/>
          </w:rPr>
          <w:t>Stratégie thérapeutique : pneumopathie 2025 / ADULTE - Pneumocoque ou probabiliste- IR non - G non - A non</w:t>
        </w:r>
      </w:hyperlink>
    </w:p>
    <w:p w14:paraId="3EE6140E" w14:textId="77777777" w:rsidR="00BF02D4" w:rsidRPr="00A56B90" w:rsidRDefault="00BF02D4" w:rsidP="002D57EB">
      <w:pPr>
        <w:rPr>
          <w:rFonts w:ascii="Arial" w:hAnsi="Arial" w:cs="Arial"/>
          <w:i/>
          <w:iCs/>
        </w:rPr>
      </w:pPr>
    </w:p>
    <w:sectPr w:rsidR="00BF02D4" w:rsidRPr="00A56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7516"/>
    <w:multiLevelType w:val="multilevel"/>
    <w:tmpl w:val="25C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852BD"/>
    <w:multiLevelType w:val="hybridMultilevel"/>
    <w:tmpl w:val="E6EC87AA"/>
    <w:lvl w:ilvl="0" w:tplc="096A7E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9420E"/>
    <w:multiLevelType w:val="multilevel"/>
    <w:tmpl w:val="B89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D502A"/>
    <w:multiLevelType w:val="multilevel"/>
    <w:tmpl w:val="5A9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44AD7"/>
    <w:multiLevelType w:val="hybridMultilevel"/>
    <w:tmpl w:val="B77EED56"/>
    <w:lvl w:ilvl="0" w:tplc="552A9E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B769D5"/>
    <w:multiLevelType w:val="hybridMultilevel"/>
    <w:tmpl w:val="E9D406A4"/>
    <w:lvl w:ilvl="0" w:tplc="2A542A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337D73"/>
    <w:multiLevelType w:val="multilevel"/>
    <w:tmpl w:val="018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64F4B"/>
    <w:multiLevelType w:val="multilevel"/>
    <w:tmpl w:val="897E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D2FA2"/>
    <w:multiLevelType w:val="hybridMultilevel"/>
    <w:tmpl w:val="0212AF34"/>
    <w:lvl w:ilvl="0" w:tplc="4CC8223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B40B1E"/>
    <w:multiLevelType w:val="multilevel"/>
    <w:tmpl w:val="5C2E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A6E52"/>
    <w:multiLevelType w:val="multilevel"/>
    <w:tmpl w:val="384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E25DA"/>
    <w:multiLevelType w:val="multilevel"/>
    <w:tmpl w:val="A114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05E09"/>
    <w:multiLevelType w:val="multilevel"/>
    <w:tmpl w:val="88F6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D1BC4"/>
    <w:multiLevelType w:val="multilevel"/>
    <w:tmpl w:val="E6A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E237A"/>
    <w:multiLevelType w:val="multilevel"/>
    <w:tmpl w:val="6E6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51056"/>
    <w:multiLevelType w:val="multilevel"/>
    <w:tmpl w:val="EA3E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3"/>
  </w:num>
  <w:num w:numId="4">
    <w:abstractNumId w:val="5"/>
  </w:num>
  <w:num w:numId="5">
    <w:abstractNumId w:val="11"/>
  </w:num>
  <w:num w:numId="6">
    <w:abstractNumId w:val="3"/>
  </w:num>
  <w:num w:numId="7">
    <w:abstractNumId w:val="8"/>
  </w:num>
  <w:num w:numId="8">
    <w:abstractNumId w:val="12"/>
  </w:num>
  <w:num w:numId="9">
    <w:abstractNumId w:val="6"/>
  </w:num>
  <w:num w:numId="10">
    <w:abstractNumId w:val="1"/>
  </w:num>
  <w:num w:numId="11">
    <w:abstractNumId w:val="7"/>
  </w:num>
  <w:num w:numId="12">
    <w:abstractNumId w:val="15"/>
  </w:num>
  <w:num w:numId="13">
    <w:abstractNumId w:val="2"/>
  </w:num>
  <w:num w:numId="14">
    <w:abstractNumId w:val="1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B0"/>
    <w:rsid w:val="0023765F"/>
    <w:rsid w:val="00242EAA"/>
    <w:rsid w:val="00246B3D"/>
    <w:rsid w:val="002D57EB"/>
    <w:rsid w:val="003963B0"/>
    <w:rsid w:val="00414969"/>
    <w:rsid w:val="00441F3D"/>
    <w:rsid w:val="004B2C89"/>
    <w:rsid w:val="005F5928"/>
    <w:rsid w:val="008B13E1"/>
    <w:rsid w:val="008F590F"/>
    <w:rsid w:val="00A510A5"/>
    <w:rsid w:val="00A56B90"/>
    <w:rsid w:val="00AE4AF2"/>
    <w:rsid w:val="00AF5C19"/>
    <w:rsid w:val="00BC4BEB"/>
    <w:rsid w:val="00BF02D4"/>
    <w:rsid w:val="00DB4EA6"/>
    <w:rsid w:val="00DE48FD"/>
    <w:rsid w:val="00EC6347"/>
    <w:rsid w:val="00F72CBE"/>
    <w:rsid w:val="00F87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DD129F"/>
  <w15:chartTrackingRefBased/>
  <w15:docId w15:val="{CD9F17F4-F9E5-4B49-9CCF-C3813522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6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96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963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963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963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963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63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63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63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63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963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63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963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963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963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63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63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63B0"/>
    <w:rPr>
      <w:rFonts w:eastAsiaTheme="majorEastAsia" w:cstheme="majorBidi"/>
      <w:color w:val="272727" w:themeColor="text1" w:themeTint="D8"/>
    </w:rPr>
  </w:style>
  <w:style w:type="paragraph" w:styleId="Titre">
    <w:name w:val="Title"/>
    <w:basedOn w:val="Normal"/>
    <w:next w:val="Normal"/>
    <w:link w:val="TitreCar"/>
    <w:uiPriority w:val="10"/>
    <w:qFormat/>
    <w:rsid w:val="0039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63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63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63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63B0"/>
    <w:pPr>
      <w:spacing w:before="160"/>
      <w:jc w:val="center"/>
    </w:pPr>
    <w:rPr>
      <w:i/>
      <w:iCs/>
      <w:color w:val="404040" w:themeColor="text1" w:themeTint="BF"/>
    </w:rPr>
  </w:style>
  <w:style w:type="character" w:customStyle="1" w:styleId="CitationCar">
    <w:name w:val="Citation Car"/>
    <w:basedOn w:val="Policepardfaut"/>
    <w:link w:val="Citation"/>
    <w:uiPriority w:val="29"/>
    <w:rsid w:val="003963B0"/>
    <w:rPr>
      <w:i/>
      <w:iCs/>
      <w:color w:val="404040" w:themeColor="text1" w:themeTint="BF"/>
    </w:rPr>
  </w:style>
  <w:style w:type="paragraph" w:styleId="Paragraphedeliste">
    <w:name w:val="List Paragraph"/>
    <w:basedOn w:val="Normal"/>
    <w:uiPriority w:val="34"/>
    <w:qFormat/>
    <w:rsid w:val="003963B0"/>
    <w:pPr>
      <w:ind w:left="720"/>
      <w:contextualSpacing/>
    </w:pPr>
  </w:style>
  <w:style w:type="character" w:styleId="Accentuationintense">
    <w:name w:val="Intense Emphasis"/>
    <w:basedOn w:val="Policepardfaut"/>
    <w:uiPriority w:val="21"/>
    <w:qFormat/>
    <w:rsid w:val="003963B0"/>
    <w:rPr>
      <w:i/>
      <w:iCs/>
      <w:color w:val="2F5496" w:themeColor="accent1" w:themeShade="BF"/>
    </w:rPr>
  </w:style>
  <w:style w:type="paragraph" w:styleId="Citationintense">
    <w:name w:val="Intense Quote"/>
    <w:basedOn w:val="Normal"/>
    <w:next w:val="Normal"/>
    <w:link w:val="CitationintenseCar"/>
    <w:uiPriority w:val="30"/>
    <w:qFormat/>
    <w:rsid w:val="00396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963B0"/>
    <w:rPr>
      <w:i/>
      <w:iCs/>
      <w:color w:val="2F5496" w:themeColor="accent1" w:themeShade="BF"/>
    </w:rPr>
  </w:style>
  <w:style w:type="character" w:styleId="Rfrenceintense">
    <w:name w:val="Intense Reference"/>
    <w:basedOn w:val="Policepardfaut"/>
    <w:uiPriority w:val="32"/>
    <w:qFormat/>
    <w:rsid w:val="003963B0"/>
    <w:rPr>
      <w:b/>
      <w:bCs/>
      <w:smallCaps/>
      <w:color w:val="2F5496" w:themeColor="accent1" w:themeShade="BF"/>
      <w:spacing w:val="5"/>
    </w:rPr>
  </w:style>
  <w:style w:type="paragraph" w:styleId="NormalWeb">
    <w:name w:val="Normal (Web)"/>
    <w:basedOn w:val="Normal"/>
    <w:uiPriority w:val="99"/>
    <w:unhideWhenUsed/>
    <w:rsid w:val="003963B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tibioclic.com/strategie/496/3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abs/pii/S2772743225000716?via%3Dihub" TargetMode="External"/><Relationship Id="rId5" Type="http://schemas.openxmlformats.org/officeDocument/2006/relationships/hyperlink" Target="https://www.has-sante.fr/jcms/p_3575597/fr/choix-et-durees-d-antibiotherapies-pneumonie-aigue-communautaire-de-l-adulte-en-ambulatoi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1022</Words>
  <Characters>5627</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Gries</dc:creator>
  <cp:keywords/>
  <dc:description/>
  <cp:lastModifiedBy>HAHN Candice</cp:lastModifiedBy>
  <cp:revision>2</cp:revision>
  <dcterms:created xsi:type="dcterms:W3CDTF">2025-12-05T09:34:00Z</dcterms:created>
  <dcterms:modified xsi:type="dcterms:W3CDTF">2025-12-05T09:34:00Z</dcterms:modified>
</cp:coreProperties>
</file>